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739" w:leftChars="495" w:hanging="1700" w:firstLineChars="0"/>
        <w:rPr>
          <w:rFonts w:hint="eastAsia" w:ascii="仿宋_GB2312" w:eastAsia="仿宋_GB2312"/>
          <w:sz w:val="28"/>
          <w:szCs w:val="28"/>
          <w:u w:val="single"/>
          <w:lang w:val="en-US" w:eastAsia="zh-CN"/>
        </w:rPr>
      </w:pPr>
      <w:r>
        <w:rPr>
          <w:rFonts w:hint="eastAsia" w:ascii="仿宋_GB2312" w:eastAsia="仿宋_GB2312"/>
          <w:sz w:val="28"/>
          <w:szCs w:val="28"/>
        </w:rPr>
        <w:t>项目名称：</w:t>
      </w:r>
      <w:bookmarkStart w:id="0" w:name="OLE_LINK2"/>
      <w:r>
        <w:rPr>
          <w:rFonts w:hint="eastAsia" w:ascii="仿宋_GB2312" w:eastAsia="仿宋_GB2312"/>
          <w:sz w:val="28"/>
          <w:szCs w:val="28"/>
          <w:u w:val="single"/>
          <w:lang w:val="en-US" w:eastAsia="zh-CN"/>
        </w:rPr>
        <w:t>宁安市海太塑料制品制造厂塑料筐加工项目</w:t>
      </w:r>
      <w:bookmarkEnd w:id="0"/>
    </w:p>
    <w:p>
      <w:pPr>
        <w:adjustRightInd w:val="0"/>
        <w:snapToGrid w:val="0"/>
        <w:spacing w:line="288" w:lineRule="auto"/>
        <w:ind w:firstLine="1040"/>
        <w:rPr>
          <w:rFonts w:hint="eastAsia" w:ascii="仿宋_GB2312" w:eastAsia="仿宋_GB2312"/>
          <w:sz w:val="28"/>
          <w:szCs w:val="28"/>
          <w:u w:val="single"/>
        </w:rPr>
      </w:pPr>
      <w:r>
        <w:rPr>
          <w:rFonts w:hint="eastAsia" w:ascii="仿宋_GB2312" w:eastAsia="仿宋_GB2312"/>
          <w:sz w:val="28"/>
          <w:szCs w:val="28"/>
        </w:rPr>
        <w:t>建设单位（盖章）：</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宁安市海太塑料制品制造厂</w:t>
      </w:r>
      <w:r>
        <w:rPr>
          <w:rFonts w:hint="eastAsia" w:ascii="仿宋_GB2312" w:eastAsia="仿宋_GB2312"/>
          <w:sz w:val="28"/>
          <w:szCs w:val="28"/>
          <w:u w:val="single"/>
        </w:rPr>
        <w:t xml:space="preserve">    </w:t>
      </w:r>
    </w:p>
    <w:p>
      <w:pPr>
        <w:adjustRightInd w:val="0"/>
        <w:snapToGrid w:val="0"/>
        <w:spacing w:line="288" w:lineRule="auto"/>
        <w:ind w:firstLine="1040"/>
        <w:rPr>
          <w:rFonts w:hint="eastAsia" w:ascii="仿宋_GB2312" w:eastAsia="仿宋_GB2312"/>
          <w:sz w:val="28"/>
          <w:szCs w:val="28"/>
          <w:u w:val="single"/>
        </w:rPr>
      </w:pPr>
      <w:r>
        <w:rPr>
          <w:rFonts w:hint="eastAsia" w:ascii="仿宋_GB2312" w:eastAsia="仿宋_GB2312"/>
          <w:sz w:val="28"/>
          <w:szCs w:val="28"/>
        </w:rPr>
        <w:t>编制日期：</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u w:val="single"/>
          <w:lang w:val="en-US" w:eastAsia="zh-CN"/>
        </w:rPr>
        <w:t>2023年2月</w:t>
      </w:r>
      <w:r>
        <w:rPr>
          <w:rFonts w:ascii="仿宋_GB2312" w:eastAsia="仿宋_GB2312"/>
          <w:sz w:val="28"/>
          <w:szCs w:val="28"/>
          <w:u w:val="single"/>
        </w:rPr>
        <w:t xml:space="preserve">        </w:t>
      </w:r>
      <w:r>
        <w:rPr>
          <w:rFonts w:hint="eastAsia" w:ascii="仿宋_GB2312" w:eastAsia="仿宋_GB2312"/>
          <w:sz w:val="28"/>
          <w:szCs w:val="28"/>
          <w:u w:val="single"/>
        </w:rPr>
        <w:t xml:space="preserve"> </w:t>
      </w:r>
    </w:p>
    <w:p>
      <w:pPr>
        <w:adjustRightInd w:val="0"/>
        <w:snapToGrid w:val="0"/>
        <w:spacing w:line="288" w:lineRule="auto"/>
        <w:ind w:firstLine="1040"/>
        <w:rPr>
          <w:rFonts w:ascii="仿宋_GB2312" w:eastAsia="仿宋_GB2312"/>
          <w:sz w:val="36"/>
          <w:szCs w:val="36"/>
          <w:u w:val="single"/>
        </w:rPr>
      </w:pPr>
      <w:bookmarkStart w:id="1"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1"/>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39"/>
        <w:gridCol w:w="2044"/>
        <w:gridCol w:w="2012"/>
        <w:gridCol w:w="3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建设项目名称</w:t>
            </w:r>
          </w:p>
        </w:tc>
        <w:tc>
          <w:tcPr>
            <w:tcW w:w="7431"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宁安市海太塑料制品制造厂</w:t>
            </w:r>
            <w:r>
              <w:rPr>
                <w:rFonts w:hint="default" w:ascii="Times New Roman" w:hAnsi="Times New Roman" w:eastAsia="宋体" w:cs="Times New Roman"/>
                <w:sz w:val="24"/>
                <w:szCs w:val="24"/>
                <w:lang w:val="en-US" w:eastAsia="zh-CN"/>
              </w:rPr>
              <w:t>塑料筐加工项目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项目代码</w:t>
            </w:r>
          </w:p>
        </w:tc>
        <w:tc>
          <w:tcPr>
            <w:tcW w:w="7431"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4"/>
                <w:szCs w:val="24"/>
              </w:rPr>
            </w:pPr>
            <w:r>
              <w:rPr>
                <w:rFonts w:hint="eastAsia" w:ascii="宋体" w:hAnsi="宋体" w:cs="宋体"/>
                <w:sz w:val="24"/>
                <w:szCs w:val="24"/>
              </w:rPr>
              <w:t>建设单位联系人</w:t>
            </w:r>
          </w:p>
        </w:tc>
        <w:tc>
          <w:tcPr>
            <w:tcW w:w="20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程</w:t>
            </w:r>
            <w:r>
              <w:rPr>
                <w:rFonts w:hint="eastAsia" w:cs="Times New Roman"/>
                <w:sz w:val="24"/>
                <w:szCs w:val="24"/>
                <w:lang w:val="en-US" w:eastAsia="zh-CN"/>
              </w:rPr>
              <w:t>先生</w:t>
            </w:r>
          </w:p>
        </w:tc>
        <w:tc>
          <w:tcPr>
            <w:tcW w:w="20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联系方式</w:t>
            </w:r>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8"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建设地点</w:t>
            </w:r>
          </w:p>
        </w:tc>
        <w:tc>
          <w:tcPr>
            <w:tcW w:w="7431"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黑龙江省牡丹江市宁安市东京城镇振兴村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地理坐标</w:t>
            </w:r>
          </w:p>
        </w:tc>
        <w:tc>
          <w:tcPr>
            <w:tcW w:w="7431"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129</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13</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lang w:val="en-US" w:eastAsia="zh-CN"/>
              </w:rPr>
              <w:t>19.506</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lang w:val="en-US" w:eastAsia="zh-CN"/>
              </w:rPr>
              <w:t>44</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20.370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4"/>
                <w:szCs w:val="24"/>
              </w:rPr>
            </w:pPr>
            <w:r>
              <w:rPr>
                <w:rFonts w:hint="eastAsia" w:ascii="宋体" w:hAnsi="宋体" w:cs="宋体"/>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行业类别</w:t>
            </w:r>
          </w:p>
        </w:tc>
        <w:tc>
          <w:tcPr>
            <w:tcW w:w="20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C2926 塑料包装及容器制造</w:t>
            </w:r>
          </w:p>
        </w:tc>
        <w:tc>
          <w:tcPr>
            <w:tcW w:w="20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bookmarkStart w:id="2" w:name="_Hlk49843745"/>
            <w:r>
              <w:rPr>
                <w:rFonts w:hint="default" w:ascii="Times New Roman" w:hAnsi="Times New Roman"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2"/>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塑料制品业 292-其他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建设性质</w:t>
            </w:r>
          </w:p>
        </w:tc>
        <w:tc>
          <w:tcPr>
            <w:tcW w:w="2044"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0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3375"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项目审批（核准</w:t>
            </w:r>
            <w:r>
              <w:rPr>
                <w:rFonts w:hint="default" w:ascii="宋体" w:hAnsi="宋体" w:cs="宋体"/>
                <w:sz w:val="24"/>
                <w:szCs w:val="24"/>
              </w:rPr>
              <w:t>/</w:t>
            </w:r>
            <w:r>
              <w:rPr>
                <w:rFonts w:hint="eastAsia" w:ascii="宋体" w:hAnsi="宋体" w:cs="宋体"/>
                <w:sz w:val="24"/>
                <w:szCs w:val="24"/>
              </w:rPr>
              <w:t>备案）部门（选填）</w:t>
            </w:r>
          </w:p>
        </w:tc>
        <w:tc>
          <w:tcPr>
            <w:tcW w:w="20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c>
          <w:tcPr>
            <w:tcW w:w="20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总投资（万元）</w:t>
            </w:r>
          </w:p>
        </w:tc>
        <w:tc>
          <w:tcPr>
            <w:tcW w:w="20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200</w:t>
            </w:r>
          </w:p>
        </w:tc>
        <w:tc>
          <w:tcPr>
            <w:tcW w:w="2012"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环保投资占比（</w:t>
            </w:r>
            <w:r>
              <w:rPr>
                <w:rFonts w:hint="default" w:ascii="宋体" w:hAnsi="宋体" w:cs="宋体"/>
                <w:sz w:val="24"/>
                <w:szCs w:val="24"/>
              </w:rPr>
              <w:t>%</w:t>
            </w:r>
            <w:r>
              <w:rPr>
                <w:rFonts w:hint="eastAsia" w:ascii="宋体" w:hAnsi="宋体" w:cs="宋体"/>
                <w:sz w:val="24"/>
                <w:szCs w:val="24"/>
              </w:rPr>
              <w:t>）</w:t>
            </w:r>
          </w:p>
        </w:tc>
        <w:tc>
          <w:tcPr>
            <w:tcW w:w="204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6.25%</w:t>
            </w:r>
          </w:p>
        </w:tc>
        <w:tc>
          <w:tcPr>
            <w:tcW w:w="2012"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14" w:hRule="atLeast"/>
          <w:jc w:val="center"/>
        </w:trPr>
        <w:tc>
          <w:tcPr>
            <w:tcW w:w="14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4"/>
                <w:szCs w:val="24"/>
              </w:rPr>
            </w:pPr>
            <w:r>
              <w:rPr>
                <w:rFonts w:hint="eastAsia" w:ascii="宋体" w:hAnsi="宋体" w:cs="宋体"/>
                <w:sz w:val="24"/>
                <w:szCs w:val="24"/>
              </w:rPr>
              <w:t>是否开工建设</w:t>
            </w:r>
          </w:p>
        </w:tc>
        <w:tc>
          <w:tcPr>
            <w:tcW w:w="2044"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p>
        </w:tc>
        <w:tc>
          <w:tcPr>
            <w:tcW w:w="2012"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pacing w:val="-6"/>
                <w:sz w:val="24"/>
                <w:szCs w:val="24"/>
                <w:lang w:val="en-US" w:eastAsia="zh-CN"/>
              </w:rPr>
              <w:t>用地</w:t>
            </w: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337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1591</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43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kern w:val="0"/>
                <w:sz w:val="24"/>
                <w:szCs w:val="24"/>
              </w:rPr>
            </w:pPr>
            <w:r>
              <w:rPr>
                <w:rFonts w:hint="eastAsia" w:ascii="宋体" w:hAnsi="宋体" w:cs="宋体"/>
                <w:kern w:val="0"/>
                <w:sz w:val="24"/>
                <w:szCs w:val="24"/>
              </w:rPr>
              <w:t>专项评价</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设置情况</w:t>
            </w:r>
          </w:p>
        </w:tc>
        <w:tc>
          <w:tcPr>
            <w:tcW w:w="7431"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rPr>
            </w:pPr>
          </w:p>
          <w:p>
            <w:pPr>
              <w:pStyle w:val="6"/>
              <w:keepLines w:val="0"/>
              <w:suppressLineNumbers w:val="0"/>
              <w:spacing w:beforeAutospacing="0" w:afterAutospacing="0"/>
              <w:ind w:right="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专项评价设置情况表</w:t>
            </w:r>
          </w:p>
          <w:tbl>
            <w:tblPr>
              <w:tblStyle w:val="23"/>
              <w:tblW w:w="72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080"/>
              <w:gridCol w:w="1731"/>
              <w:gridCol w:w="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专项评价类别</w:t>
                  </w:r>
                </w:p>
              </w:tc>
              <w:tc>
                <w:tcPr>
                  <w:tcW w:w="40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设置原则</w:t>
                  </w:r>
                </w:p>
              </w:tc>
              <w:tc>
                <w:tcPr>
                  <w:tcW w:w="173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本项目</w:t>
                  </w:r>
                </w:p>
              </w:tc>
              <w:tc>
                <w:tcPr>
                  <w:tcW w:w="63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是否设置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大气</w:t>
                  </w:r>
                </w:p>
              </w:tc>
              <w:tc>
                <w:tcPr>
                  <w:tcW w:w="4080"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64" w:lineRule="auto"/>
                    <w:ind w:left="0" w:right="0"/>
                    <w:jc w:val="center"/>
                    <w:textAlignment w:val="auto"/>
                    <w:rPr>
                      <w:rFonts w:hint="default" w:ascii="Times New Roman" w:hAnsi="Times New Roman" w:cs="Times New Roman"/>
                      <w:kern w:val="0"/>
                      <w:sz w:val="24"/>
                      <w:szCs w:val="24"/>
                      <w:vertAlign w:val="baseline"/>
                    </w:rPr>
                  </w:pPr>
                  <w:r>
                    <w:rPr>
                      <w:rFonts w:hint="default" w:ascii="Times New Roman" w:hAnsi="Times New Roman" w:eastAsia="宋体" w:cs="Times New Roman"/>
                      <w:b w:val="0"/>
                      <w:bCs/>
                      <w:color w:val="auto"/>
                      <w:kern w:val="0"/>
                      <w:sz w:val="24"/>
                      <w:szCs w:val="24"/>
                      <w:lang w:val="en-US" w:eastAsia="zh-CN" w:bidi="ar"/>
                    </w:rPr>
                    <w:t>排放废气含有毒有害污染物 1、二噁英、苯并[</w:t>
                  </w:r>
                  <w:r>
                    <w:rPr>
                      <w:rFonts w:hint="default" w:ascii="Times New Roman" w:hAnsi="Times New Roman" w:eastAsia="宋体" w:cs="Times New Roman"/>
                      <w:b w:val="0"/>
                      <w:bCs/>
                      <w:i/>
                      <w:color w:val="auto"/>
                      <w:kern w:val="0"/>
                      <w:sz w:val="24"/>
                      <w:szCs w:val="24"/>
                      <w:lang w:val="en-US" w:eastAsia="zh-CN" w:bidi="ar"/>
                    </w:rPr>
                    <w:t>a</w:t>
                  </w:r>
                  <w:r>
                    <w:rPr>
                      <w:rFonts w:hint="default" w:ascii="Times New Roman" w:hAnsi="Times New Roman" w:eastAsia="宋体" w:cs="Times New Roman"/>
                      <w:b w:val="0"/>
                      <w:bCs/>
                      <w:color w:val="auto"/>
                      <w:kern w:val="0"/>
                      <w:sz w:val="24"/>
                      <w:szCs w:val="24"/>
                      <w:lang w:val="en-US" w:eastAsia="zh-CN" w:bidi="ar"/>
                    </w:rPr>
                    <w:t>]芘、氰化物、氯气且厂界外500 米范围内有环境空气保护目标的建设项目</w:t>
                  </w:r>
                </w:p>
              </w:tc>
              <w:tc>
                <w:tcPr>
                  <w:tcW w:w="173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本项目生产过程不产生有毒有害污染物。</w:t>
                  </w:r>
                </w:p>
              </w:tc>
              <w:tc>
                <w:tcPr>
                  <w:tcW w:w="63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地表水</w:t>
                  </w:r>
                </w:p>
              </w:tc>
              <w:tc>
                <w:tcPr>
                  <w:tcW w:w="4080"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line="264" w:lineRule="auto"/>
                    <w:ind w:left="0" w:right="0"/>
                    <w:jc w:val="center"/>
                    <w:textAlignment w:val="auto"/>
                    <w:rPr>
                      <w:rFonts w:hint="default" w:ascii="Times New Roman" w:hAnsi="Times New Roman" w:cs="Times New Roman"/>
                      <w:kern w:val="0"/>
                      <w:sz w:val="24"/>
                      <w:szCs w:val="24"/>
                      <w:vertAlign w:val="baseline"/>
                    </w:rPr>
                  </w:pPr>
                  <w:r>
                    <w:rPr>
                      <w:rFonts w:hint="default" w:ascii="Times New Roman" w:hAnsi="Times New Roman" w:eastAsia="宋体" w:cs="Times New Roman"/>
                      <w:b w:val="0"/>
                      <w:bCs/>
                      <w:color w:val="auto"/>
                      <w:kern w:val="0"/>
                      <w:sz w:val="24"/>
                      <w:szCs w:val="24"/>
                      <w:lang w:val="en-US" w:eastAsia="zh-CN" w:bidi="ar"/>
                    </w:rPr>
                    <w:t>新增工业废水直排建设项目（槽罐车外送污水处理厂的除外）；新增废水直排的污水集中处理厂</w:t>
                  </w:r>
                </w:p>
              </w:tc>
              <w:tc>
                <w:tcPr>
                  <w:tcW w:w="173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本项目的冷却水循环利用，定期补给，不外排。</w:t>
                  </w:r>
                </w:p>
              </w:tc>
              <w:tc>
                <w:tcPr>
                  <w:tcW w:w="63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风险</w:t>
                  </w:r>
                </w:p>
              </w:tc>
              <w:tc>
                <w:tcPr>
                  <w:tcW w:w="4080"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line="264" w:lineRule="auto"/>
                    <w:ind w:left="0" w:right="0"/>
                    <w:jc w:val="center"/>
                    <w:textAlignment w:val="auto"/>
                    <w:rPr>
                      <w:rFonts w:hint="default" w:ascii="Times New Roman" w:hAnsi="Times New Roman" w:cs="Times New Roman"/>
                      <w:kern w:val="0"/>
                      <w:sz w:val="24"/>
                      <w:szCs w:val="24"/>
                      <w:vertAlign w:val="baseline"/>
                    </w:rPr>
                  </w:pPr>
                  <w:r>
                    <w:rPr>
                      <w:rFonts w:hint="default" w:ascii="Times New Roman" w:hAnsi="Times New Roman" w:eastAsia="宋体" w:cs="Times New Roman"/>
                      <w:b w:val="0"/>
                      <w:bCs/>
                      <w:color w:val="auto"/>
                      <w:kern w:val="0"/>
                      <w:sz w:val="24"/>
                      <w:szCs w:val="24"/>
                      <w:lang w:val="en-US" w:eastAsia="zh-CN" w:bidi="ar"/>
                    </w:rPr>
                    <w:t>有毒有害和易燃易爆危险物质存储量超过临界量的建设项目</w:t>
                  </w:r>
                </w:p>
              </w:tc>
              <w:tc>
                <w:tcPr>
                  <w:tcW w:w="173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本项目不贮存有毒有害和易燃易爆物质。</w:t>
                  </w:r>
                </w:p>
              </w:tc>
              <w:tc>
                <w:tcPr>
                  <w:tcW w:w="63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生态</w:t>
                  </w:r>
                </w:p>
              </w:tc>
              <w:tc>
                <w:tcPr>
                  <w:tcW w:w="4080"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64" w:lineRule="auto"/>
                    <w:ind w:left="0" w:right="0"/>
                    <w:jc w:val="center"/>
                    <w:textAlignment w:val="auto"/>
                    <w:rPr>
                      <w:rFonts w:hint="default" w:ascii="Times New Roman" w:hAnsi="Times New Roman" w:cs="Times New Roman"/>
                      <w:kern w:val="0"/>
                      <w:sz w:val="24"/>
                      <w:szCs w:val="24"/>
                      <w:vertAlign w:val="baseline"/>
                    </w:rPr>
                  </w:pPr>
                  <w:r>
                    <w:rPr>
                      <w:rFonts w:hint="default" w:ascii="Times New Roman" w:hAnsi="Times New Roman" w:eastAsia="宋体" w:cs="Times New Roman"/>
                      <w:b w:val="0"/>
                      <w:bCs/>
                      <w:color w:val="auto"/>
                      <w:kern w:val="0"/>
                      <w:sz w:val="24"/>
                      <w:szCs w:val="24"/>
                      <w:lang w:val="en-US" w:eastAsia="zh-CN" w:bidi="ar"/>
                    </w:rPr>
                    <w:t>取水口下游 500 米范围内有重要水生生物的自然产卵场、索饵场、越冬场和洄游通道的新增河道取水的污染类建设项目</w:t>
                  </w:r>
                </w:p>
              </w:tc>
              <w:tc>
                <w:tcPr>
                  <w:tcW w:w="173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项目周围无生态环境保护目标，且项目生产用水循环利用，不外排。</w:t>
                  </w:r>
                </w:p>
              </w:tc>
              <w:tc>
                <w:tcPr>
                  <w:tcW w:w="63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4"/>
                      <w:szCs w:val="24"/>
                      <w:vertAlign w:val="baseline"/>
                      <w:lang w:val="en-US" w:eastAsia="zh-CN"/>
                    </w:rPr>
                    <w:t>否</w:t>
                  </w:r>
                </w:p>
              </w:tc>
            </w:tr>
          </w:tbl>
          <w:p>
            <w:pPr>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143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kern w:val="0"/>
                <w:sz w:val="24"/>
                <w:szCs w:val="24"/>
              </w:rPr>
            </w:pPr>
            <w:r>
              <w:rPr>
                <w:rFonts w:hint="eastAsia" w:ascii="宋体" w:hAnsi="宋体" w:cs="宋体"/>
                <w:sz w:val="24"/>
                <w:szCs w:val="24"/>
              </w:rPr>
              <w:t>规划情况</w:t>
            </w:r>
          </w:p>
        </w:tc>
        <w:tc>
          <w:tcPr>
            <w:tcW w:w="7431"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143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szCs w:val="24"/>
              </w:rPr>
            </w:pPr>
            <w:r>
              <w:rPr>
                <w:rFonts w:hint="eastAsia" w:ascii="宋体" w:hAnsi="宋体" w:cs="宋体"/>
                <w:sz w:val="24"/>
                <w:szCs w:val="24"/>
              </w:rPr>
              <w:t>规划环境影响评价情况</w:t>
            </w:r>
          </w:p>
        </w:tc>
        <w:tc>
          <w:tcPr>
            <w:tcW w:w="7431"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jc w:val="center"/>
        </w:trPr>
        <w:tc>
          <w:tcPr>
            <w:tcW w:w="143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规划及规划环境影响评价符合性分析</w:t>
            </w:r>
          </w:p>
        </w:tc>
        <w:tc>
          <w:tcPr>
            <w:tcW w:w="7431"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09" w:hRule="atLeast"/>
          <w:jc w:val="center"/>
        </w:trPr>
        <w:tc>
          <w:tcPr>
            <w:tcW w:w="1439"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kern w:val="0"/>
                <w:sz w:val="24"/>
                <w:szCs w:val="24"/>
              </w:rPr>
            </w:pPr>
            <w:r>
              <w:rPr>
                <w:rFonts w:hint="eastAsia" w:ascii="宋体" w:hAnsi="宋体" w:cs="宋体"/>
                <w:kern w:val="0"/>
                <w:sz w:val="24"/>
                <w:szCs w:val="24"/>
              </w:rPr>
              <w:t>其他符合性</w:t>
            </w:r>
          </w:p>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kern w:val="0"/>
                <w:sz w:val="24"/>
                <w:szCs w:val="24"/>
              </w:rPr>
            </w:pPr>
            <w:r>
              <w:rPr>
                <w:rFonts w:hint="eastAsia" w:ascii="宋体" w:hAnsi="宋体" w:cs="宋体"/>
                <w:kern w:val="0"/>
                <w:sz w:val="24"/>
                <w:szCs w:val="24"/>
              </w:rPr>
              <w:t>分析</w:t>
            </w:r>
          </w:p>
        </w:tc>
        <w:tc>
          <w:tcPr>
            <w:tcW w:w="7431" w:type="dxa"/>
            <w:gridSpan w:val="3"/>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一、产业政策符合性分析</w:t>
            </w:r>
          </w:p>
          <w:p>
            <w:pPr>
              <w:pStyle w:val="1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本项目为新建塑料筐生产项目，原料为聚丙烯塑料颗粒，生产机器为</w:t>
            </w:r>
            <w:r>
              <w:rPr>
                <w:rFonts w:hint="eastAsia" w:ascii="宋体" w:hAnsi="宋体" w:cs="宋体"/>
                <w:sz w:val="24"/>
                <w:szCs w:val="24"/>
                <w:lang w:val="en-US" w:eastAsia="zh-CN"/>
              </w:rPr>
              <w:t>一体化</w:t>
            </w:r>
            <w:r>
              <w:rPr>
                <w:rFonts w:hint="eastAsia" w:ascii="宋体" w:hAnsi="宋体" w:eastAsia="宋体" w:cs="宋体"/>
                <w:sz w:val="24"/>
                <w:szCs w:val="24"/>
                <w:lang w:val="en-US" w:eastAsia="zh-CN"/>
              </w:rPr>
              <w:t>注塑机，产品为</w:t>
            </w:r>
            <w:r>
              <w:rPr>
                <w:rFonts w:hint="eastAsia" w:ascii="宋体" w:hAnsi="宋体" w:cs="宋体"/>
                <w:sz w:val="24"/>
                <w:szCs w:val="24"/>
                <w:lang w:val="en-US" w:eastAsia="zh-CN"/>
              </w:rPr>
              <w:t>各类</w:t>
            </w:r>
            <w:r>
              <w:rPr>
                <w:rFonts w:hint="eastAsia" w:ascii="宋体" w:hAnsi="宋体" w:eastAsia="宋体" w:cs="宋体"/>
                <w:sz w:val="24"/>
                <w:szCs w:val="24"/>
                <w:lang w:val="en-US" w:eastAsia="zh-CN"/>
              </w:rPr>
              <w:t>塑料筐。根据《产业结构调整指导目录（2019年本）》，本项目不属于产业政策中鼓励、限制、淘汰类，为允许类生产项目。因此，本项目建设符合产业政策。</w:t>
            </w:r>
          </w:p>
          <w:p>
            <w:pPr>
              <w:pStyle w:val="16"/>
              <w:keepNext w:val="0"/>
              <w:keepLines w:val="0"/>
              <w:pageBreakBefore w:val="0"/>
              <w:widowControl w:val="0"/>
              <w:numPr>
                <w:ilvl w:val="0"/>
                <w:numId w:val="1"/>
              </w:numPr>
              <w:suppressLineNumbers w:val="0"/>
              <w:kinsoku/>
              <w:wordWrap/>
              <w:overflowPunct/>
              <w:topLinePunct w:val="0"/>
              <w:bidi w:val="0"/>
              <w:spacing w:before="0" w:beforeAutospacing="0" w:after="0" w:afterAutospacing="0" w:line="360" w:lineRule="auto"/>
              <w:ind w:left="0"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选址符合性分析</w:t>
            </w:r>
          </w:p>
          <w:p>
            <w:pPr>
              <w:keepNext w:val="0"/>
              <w:keepLines w:val="0"/>
              <w:numPr>
                <w:ilvl w:val="0"/>
                <w:numId w:val="0"/>
              </w:numPr>
              <w:suppressLineNumbers w:val="0"/>
              <w:spacing w:before="0" w:beforeAutospacing="0" w:after="0" w:afterAutospacing="0"/>
              <w:ind w:left="0" w:right="0"/>
              <w:jc w:val="both"/>
              <w:rPr>
                <w:rFonts w:hint="eastAsia"/>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宋体" w:hAnsi="宋体" w:eastAsia="宋体" w:cs="宋体"/>
                <w:b w:val="0"/>
                <w:bCs w:val="0"/>
                <w:color w:val="0000FF"/>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图1-1 本项目土地利用规划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本项目位于黑龙江省牡丹江市宁安市东京城镇</w:t>
            </w:r>
            <w:r>
              <w:rPr>
                <w:rFonts w:hint="default" w:ascii="Times New Roman" w:hAnsi="Times New Roman" w:eastAsia="宋体" w:cs="Times New Roman"/>
                <w:color w:val="auto"/>
                <w:sz w:val="24"/>
                <w:szCs w:val="24"/>
                <w:lang w:val="en-US" w:eastAsia="zh-CN"/>
              </w:rPr>
              <w:t>振兴村，</w:t>
            </w:r>
            <w:r>
              <w:rPr>
                <w:rFonts w:hint="eastAsia" w:cs="Times New Roman"/>
                <w:color w:val="auto"/>
                <w:sz w:val="24"/>
                <w:szCs w:val="24"/>
                <w:lang w:val="en-US" w:eastAsia="zh-CN"/>
              </w:rPr>
              <w:t>东侧为闲置厂房，南侧为闲置居民房屋，西侧为废油加工厂及居民住宅，北侧为闲置厂房</w:t>
            </w: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利用</w:t>
            </w:r>
            <w:r>
              <w:rPr>
                <w:rFonts w:hint="default" w:ascii="Times New Roman" w:hAnsi="Times New Roman" w:eastAsia="宋体" w:cs="Times New Roman"/>
                <w:color w:val="auto"/>
                <w:sz w:val="24"/>
                <w:szCs w:val="24"/>
                <w:lang w:val="en-US" w:eastAsia="zh-CN"/>
              </w:rPr>
              <w:t>振兴村的</w:t>
            </w:r>
            <w:r>
              <w:rPr>
                <w:rFonts w:hint="default" w:ascii="Times New Roman" w:hAnsi="Times New Roman" w:cs="Times New Roman"/>
                <w:color w:val="auto"/>
                <w:sz w:val="24"/>
                <w:szCs w:val="24"/>
                <w:lang w:val="en-US" w:eastAsia="zh-CN"/>
              </w:rPr>
              <w:t>工业</w:t>
            </w:r>
            <w:r>
              <w:rPr>
                <w:rFonts w:hint="default" w:ascii="Times New Roman" w:hAnsi="Times New Roman" w:eastAsia="宋体" w:cs="Times New Roman"/>
                <w:color w:val="auto"/>
                <w:sz w:val="24"/>
                <w:szCs w:val="24"/>
                <w:lang w:val="en-US" w:eastAsia="zh-CN"/>
              </w:rPr>
              <w:t>用地，占</w:t>
            </w:r>
            <w:r>
              <w:rPr>
                <w:rFonts w:hint="default" w:ascii="Times New Roman" w:hAnsi="Times New Roman" w:eastAsia="宋体" w:cs="Times New Roman"/>
                <w:sz w:val="24"/>
                <w:szCs w:val="24"/>
                <w:lang w:val="en-US" w:eastAsia="zh-CN"/>
              </w:rPr>
              <w:t>地面积</w:t>
            </w:r>
            <w:r>
              <w:rPr>
                <w:rFonts w:hint="default" w:ascii="Times New Roman" w:hAnsi="Times New Roman" w:cs="Times New Roman"/>
                <w:sz w:val="24"/>
                <w:szCs w:val="24"/>
                <w:lang w:val="en-US" w:eastAsia="zh-CN"/>
              </w:rPr>
              <w:t>1591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，建筑面积</w:t>
            </w:r>
            <w:r>
              <w:rPr>
                <w:rFonts w:hint="eastAsia" w:ascii="Times New Roman" w:hAnsi="Times New Roman" w:cs="Times New Roman"/>
                <w:sz w:val="24"/>
                <w:szCs w:val="24"/>
                <w:lang w:val="en-US" w:eastAsia="zh-CN"/>
              </w:rPr>
              <w:t>917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，建厂土地地形</w:t>
            </w:r>
            <w:r>
              <w:rPr>
                <w:rFonts w:hint="default" w:ascii="Times New Roman" w:hAnsi="Times New Roman" w:eastAsia="宋体" w:cs="Times New Roman"/>
                <w:color w:val="auto"/>
                <w:sz w:val="24"/>
                <w:szCs w:val="24"/>
                <w:lang w:val="en-US" w:eastAsia="zh-CN"/>
              </w:rPr>
              <w:t>平整，临近</w:t>
            </w:r>
            <w:r>
              <w:rPr>
                <w:rFonts w:hint="eastAsia" w:ascii="Times New Roman" w:hAnsi="Times New Roman" w:cs="Times New Roman"/>
                <w:color w:val="auto"/>
                <w:sz w:val="24"/>
                <w:szCs w:val="24"/>
                <w:lang w:val="en-US" w:eastAsia="zh-CN"/>
              </w:rPr>
              <w:t>G201国道</w:t>
            </w:r>
            <w:r>
              <w:rPr>
                <w:rFonts w:hint="default" w:ascii="Times New Roman" w:hAnsi="Times New Roman" w:eastAsia="宋体" w:cs="Times New Roman"/>
                <w:color w:val="auto"/>
                <w:sz w:val="24"/>
                <w:szCs w:val="24"/>
                <w:lang w:val="en-US" w:eastAsia="zh-CN"/>
              </w:rPr>
              <w:t>，符合建设用地的要求</w:t>
            </w:r>
            <w:r>
              <w:rPr>
                <w:rFonts w:hint="default" w:ascii="Times New Roman" w:hAnsi="Times New Roman" w:cs="Times New Roman"/>
                <w:color w:val="auto"/>
                <w:sz w:val="24"/>
                <w:szCs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为塑料筐</w:t>
            </w:r>
            <w:r>
              <w:rPr>
                <w:rFonts w:hint="default" w:ascii="Times New Roman" w:hAnsi="Times New Roman" w:eastAsia="宋体" w:cs="Times New Roman"/>
                <w:color w:val="auto"/>
                <w:sz w:val="24"/>
                <w:szCs w:val="24"/>
              </w:rPr>
              <w:t>生产</w:t>
            </w:r>
            <w:r>
              <w:rPr>
                <w:rFonts w:hint="default" w:ascii="Times New Roman" w:hAnsi="Times New Roman" w:eastAsia="宋体" w:cs="Times New Roman"/>
                <w:color w:val="auto"/>
                <w:sz w:val="24"/>
                <w:szCs w:val="24"/>
                <w:lang w:val="en-US" w:eastAsia="zh-CN"/>
              </w:rPr>
              <w:t>项目，原料为塑料颗粒，生产设备为</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台一体化注塑机、</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台投料机</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1台</w:t>
            </w:r>
            <w:r>
              <w:rPr>
                <w:rFonts w:hint="eastAsia" w:ascii="Times New Roman" w:hAnsi="Times New Roman" w:cs="Times New Roman"/>
                <w:color w:val="auto"/>
                <w:sz w:val="24"/>
                <w:szCs w:val="24"/>
                <w:lang w:val="en-US" w:eastAsia="zh-CN"/>
              </w:rPr>
              <w:t>粉碎机及一处容积为3.6m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（2*1.5*1.2m）的循环水池，</w:t>
            </w:r>
            <w:r>
              <w:rPr>
                <w:rFonts w:hint="default" w:ascii="Times New Roman" w:hAnsi="Times New Roman" w:eastAsia="宋体" w:cs="Times New Roman"/>
                <w:color w:val="auto"/>
                <w:sz w:val="24"/>
                <w:szCs w:val="24"/>
                <w:lang w:val="en-US" w:eastAsia="zh-CN"/>
              </w:rPr>
              <w:t>均安置在生产车间内。原料</w:t>
            </w:r>
            <w:r>
              <w:rPr>
                <w:rFonts w:hint="eastAsia" w:ascii="Times New Roman" w:hAnsi="Times New Roman" w:cs="Times New Roman"/>
                <w:color w:val="auto"/>
                <w:sz w:val="24"/>
                <w:szCs w:val="24"/>
                <w:lang w:val="en-US" w:eastAsia="zh-CN"/>
              </w:rPr>
              <w:t>储存与原料库内，成品塑料筐储存在成品库内</w:t>
            </w:r>
            <w:r>
              <w:rPr>
                <w:rFonts w:hint="default" w:ascii="Times New Roman" w:hAnsi="Times New Roman" w:eastAsia="宋体" w:cs="Times New Roman"/>
                <w:color w:val="auto"/>
                <w:sz w:val="24"/>
                <w:szCs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本项目生产工序</w:t>
            </w:r>
            <w:r>
              <w:rPr>
                <w:rFonts w:hint="eastAsia" w:ascii="Times New Roman" w:hAnsi="Times New Roman" w:cs="Times New Roman"/>
                <w:color w:val="auto"/>
                <w:sz w:val="24"/>
                <w:szCs w:val="24"/>
                <w:lang w:val="en-US" w:eastAsia="zh-CN"/>
              </w:rPr>
              <w:t>中投料过程</w:t>
            </w:r>
            <w:r>
              <w:rPr>
                <w:rFonts w:hint="default" w:ascii="Times New Roman" w:hAnsi="Times New Roman" w:eastAsia="宋体" w:cs="Times New Roman"/>
                <w:color w:val="auto"/>
                <w:sz w:val="24"/>
                <w:szCs w:val="24"/>
                <w:lang w:val="en-US" w:eastAsia="zh-CN"/>
              </w:rPr>
              <w:t>产生少量颗粒物，</w:t>
            </w:r>
            <w:r>
              <w:rPr>
                <w:rFonts w:hint="eastAsia" w:ascii="Times New Roman" w:hAnsi="Times New Roman" w:cs="Times New Roman"/>
                <w:color w:val="auto"/>
                <w:sz w:val="24"/>
                <w:szCs w:val="24"/>
                <w:lang w:val="en-US" w:eastAsia="zh-CN"/>
              </w:rPr>
              <w:t>热熔注塑过程</w:t>
            </w:r>
            <w:r>
              <w:rPr>
                <w:rFonts w:hint="default" w:ascii="Times New Roman" w:hAnsi="Times New Roman" w:eastAsia="宋体" w:cs="Times New Roman"/>
                <w:color w:val="auto"/>
                <w:sz w:val="24"/>
                <w:szCs w:val="24"/>
                <w:lang w:val="en-US" w:eastAsia="zh-CN"/>
              </w:rPr>
              <w:t>在成品出口处排放少量VOCs</w:t>
            </w:r>
            <w:r>
              <w:rPr>
                <w:rFonts w:hint="eastAsia" w:cs="Times New Roman"/>
                <w:color w:val="auto"/>
                <w:sz w:val="24"/>
                <w:szCs w:val="24"/>
                <w:lang w:val="en-US" w:eastAsia="zh-CN"/>
              </w:rPr>
              <w:t>、颗粒物及臭气</w:t>
            </w:r>
            <w:r>
              <w:rPr>
                <w:rFonts w:hint="default" w:ascii="Times New Roman" w:hAnsi="Times New Roman" w:eastAsia="宋体" w:cs="Times New Roman"/>
                <w:color w:val="auto"/>
                <w:sz w:val="24"/>
                <w:szCs w:val="24"/>
                <w:lang w:val="en-US" w:eastAsia="zh-CN"/>
              </w:rPr>
              <w:t>，采取措施后能够满足国家及地方的排放标准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生产车间的排风口位于东</w:t>
            </w:r>
            <w:r>
              <w:rPr>
                <w:rFonts w:hint="default" w:ascii="Times New Roman" w:hAnsi="Times New Roman" w:cs="Times New Roman"/>
                <w:color w:val="auto"/>
                <w:sz w:val="24"/>
                <w:szCs w:val="24"/>
                <w:lang w:val="en-US" w:eastAsia="zh-CN"/>
              </w:rPr>
              <w:t>南角</w:t>
            </w: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东北侧</w:t>
            </w:r>
            <w:r>
              <w:rPr>
                <w:rFonts w:hint="default" w:ascii="Times New Roman" w:hAnsi="Times New Roman" w:cs="Times New Roman"/>
                <w:color w:val="auto"/>
                <w:sz w:val="24"/>
                <w:szCs w:val="24"/>
                <w:lang w:val="en-US" w:eastAsia="zh-CN"/>
              </w:rPr>
              <w:t>有</w:t>
            </w:r>
            <w:r>
              <w:rPr>
                <w:rFonts w:hint="default" w:ascii="Times New Roman" w:hAnsi="Times New Roman" w:eastAsia="宋体" w:cs="Times New Roman"/>
                <w:color w:val="auto"/>
                <w:sz w:val="24"/>
                <w:szCs w:val="24"/>
                <w:lang w:val="en-US" w:eastAsia="zh-CN"/>
              </w:rPr>
              <w:t>振兴村有少量的居民住宅</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最近</w:t>
            </w:r>
            <w:r>
              <w:rPr>
                <w:rFonts w:hint="default" w:ascii="Times New Roman" w:hAnsi="Times New Roman" w:eastAsia="宋体" w:cs="Times New Roman"/>
                <w:color w:val="auto"/>
                <w:sz w:val="24"/>
                <w:szCs w:val="24"/>
                <w:lang w:val="en-US" w:eastAsia="zh-CN"/>
              </w:rPr>
              <w:t>距离4m，所在区域属于住宅和工业混合区。项目单位</w:t>
            </w:r>
            <w:r>
              <w:rPr>
                <w:rFonts w:hint="default" w:ascii="Times New Roman" w:hAnsi="Times New Roman" w:cs="Times New Roman"/>
                <w:color w:val="auto"/>
                <w:sz w:val="24"/>
                <w:szCs w:val="24"/>
                <w:lang w:val="en-US" w:eastAsia="zh-CN"/>
              </w:rPr>
              <w:t>用水</w:t>
            </w:r>
            <w:r>
              <w:rPr>
                <w:rFonts w:hint="eastAsia" w:ascii="Times New Roman" w:hAnsi="Times New Roman" w:cs="Times New Roman"/>
                <w:color w:val="auto"/>
                <w:sz w:val="24"/>
                <w:szCs w:val="24"/>
                <w:lang w:val="en-US" w:eastAsia="zh-CN"/>
              </w:rPr>
              <w:t>为自来水</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用电依托</w:t>
            </w:r>
            <w:r>
              <w:rPr>
                <w:rFonts w:hint="default" w:ascii="Times New Roman" w:hAnsi="Times New Roman" w:cs="Times New Roman"/>
                <w:color w:val="auto"/>
                <w:sz w:val="24"/>
                <w:szCs w:val="24"/>
                <w:lang w:val="en-US" w:eastAsia="zh-CN"/>
              </w:rPr>
              <w:t>城镇</w:t>
            </w:r>
            <w:r>
              <w:rPr>
                <w:rFonts w:hint="default" w:ascii="Times New Roman" w:hAnsi="Times New Roman" w:eastAsia="宋体" w:cs="Times New Roman"/>
                <w:color w:val="auto"/>
                <w:sz w:val="24"/>
                <w:szCs w:val="24"/>
                <w:lang w:val="en-US" w:eastAsia="zh-CN"/>
              </w:rPr>
              <w:t>基础供电设施，车间和办公室用电热供暖。</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综上，本项目</w:t>
            </w:r>
            <w:r>
              <w:rPr>
                <w:rFonts w:hint="eastAsia" w:ascii="宋体" w:hAnsi="宋体" w:cs="宋体"/>
                <w:color w:val="auto"/>
                <w:sz w:val="24"/>
                <w:szCs w:val="24"/>
                <w:lang w:val="en-US" w:eastAsia="zh-CN"/>
              </w:rPr>
              <w:t>建设</w:t>
            </w:r>
            <w:r>
              <w:rPr>
                <w:rFonts w:hint="eastAsia" w:ascii="宋体" w:hAnsi="宋体" w:eastAsia="宋体" w:cs="宋体"/>
                <w:color w:val="auto"/>
                <w:sz w:val="24"/>
                <w:szCs w:val="24"/>
                <w:lang w:val="en-US" w:eastAsia="zh-CN"/>
              </w:rPr>
              <w:t>选址合理。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三、“三线一单”符合性分析</w:t>
            </w:r>
          </w:p>
          <w:p>
            <w:pPr>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1、管控单元符合性分析</w:t>
            </w:r>
          </w:p>
          <w:p>
            <w:pPr>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根据《牡丹江市人民政府关于实施“三线一单”生态环境分区管控的意见》牡政发〔2021〕5号，本项目所在位置属于重点</w:t>
            </w:r>
            <w:r>
              <w:rPr>
                <w:rFonts w:hint="eastAsia" w:ascii="宋体" w:hAnsi="宋体" w:cs="宋体"/>
                <w:b w:val="0"/>
                <w:bCs w:val="0"/>
                <w:color w:val="auto"/>
                <w:sz w:val="24"/>
                <w:szCs w:val="24"/>
                <w:lang w:val="en-US" w:eastAsia="zh-CN"/>
              </w:rPr>
              <w:t>一般管控</w:t>
            </w:r>
            <w:r>
              <w:rPr>
                <w:rFonts w:hint="eastAsia" w:ascii="宋体" w:hAnsi="宋体" w:eastAsia="宋体" w:cs="宋体"/>
                <w:b w:val="0"/>
                <w:bCs w:val="0"/>
                <w:color w:val="auto"/>
                <w:sz w:val="24"/>
                <w:szCs w:val="24"/>
                <w:lang w:val="en-US" w:eastAsia="zh-CN"/>
              </w:rPr>
              <w:t>单元，符合性分析如下：</w:t>
            </w:r>
          </w:p>
          <w:p>
            <w:pPr>
              <w:keepNext w:val="0"/>
              <w:keepLines w:val="0"/>
              <w:numPr>
                <w:ilvl w:val="0"/>
                <w:numId w:val="2"/>
              </w:numPr>
              <w:suppressLineNumbers w:val="0"/>
              <w:spacing w:before="0" w:beforeAutospacing="0" w:after="0" w:afterAutospacing="0" w:line="360" w:lineRule="auto"/>
              <w:ind w:left="0" w:leftChars="0" w:right="0"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落实分区环境管控要求。</w:t>
            </w:r>
          </w:p>
          <w:p>
            <w:pPr>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优先保护单元以生态保护为导向，依法禁止或限制大规模、高强度的工业和城镇建设。在功能受损的优先保护单元，优先开展生态保护修复活动，恢复生态系统服务功能；在生态保护红线区域</w:t>
            </w:r>
            <w:r>
              <w:rPr>
                <w:rFonts w:hint="eastAsia" w:ascii="宋体" w:hAnsi="宋体" w:eastAsia="宋体" w:cs="宋体"/>
                <w:sz w:val="24"/>
                <w:szCs w:val="24"/>
                <w:lang w:val="en-US" w:eastAsia="zh-CN"/>
              </w:rPr>
              <w:t>，严格按照国家和省生态保护红线管理相关规定进行管控。重点管控单元突出污染物排放控制和环境风险防控，按照差别化的生态环境准入要求，优化空间和产业布局，不断提升资源利用效率，强化环境质量改善目标约束，解决局部生态环境质量不达标、生态环境风险高的问题。一般管控单元以生态环境保护与适度开发结合为主，落实生态环境管控相关要求，重点加强农业、生活等领域污染治理。</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b w:val="0"/>
                <w:bCs w:val="0"/>
                <w:sz w:val="24"/>
                <w:szCs w:val="24"/>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本项目所在位置属于宁安市一般管控单元。本项目不产生</w:t>
            </w:r>
            <w:r>
              <w:rPr>
                <w:rFonts w:hint="eastAsia" w:ascii="宋体" w:hAnsi="宋体" w:cs="宋体"/>
                <w:color w:val="000000" w:themeColor="text1"/>
                <w:sz w:val="24"/>
                <w:szCs w:val="24"/>
                <w:highlight w:val="none"/>
                <w:lang w:val="en-US" w:eastAsia="zh-CN"/>
                <w14:textFill>
                  <w14:solidFill>
                    <w14:schemeClr w14:val="tx1"/>
                  </w14:solidFill>
                </w14:textFill>
              </w:rPr>
              <w:t>生产</w:t>
            </w:r>
            <w:r>
              <w:rPr>
                <w:rFonts w:hint="eastAsia" w:ascii="宋体" w:hAnsi="宋体" w:eastAsia="宋体" w:cs="宋体"/>
                <w:color w:val="000000" w:themeColor="text1"/>
                <w:sz w:val="24"/>
                <w:szCs w:val="24"/>
                <w:highlight w:val="none"/>
                <w:lang w:val="en-US" w:eastAsia="zh-CN"/>
                <w14:textFill>
                  <w14:solidFill>
                    <w14:schemeClr w14:val="tx1"/>
                  </w14:solidFill>
                </w14:textFill>
              </w:rPr>
              <w:t>废水，</w:t>
            </w:r>
            <w:r>
              <w:rPr>
                <w:rFonts w:hint="eastAsia" w:ascii="宋体" w:hAnsi="宋体" w:cs="宋体"/>
                <w:color w:val="000000" w:themeColor="text1"/>
                <w:sz w:val="24"/>
                <w:szCs w:val="24"/>
                <w:highlight w:val="none"/>
                <w:lang w:val="en-US" w:eastAsia="zh-CN"/>
                <w14:textFill>
                  <w14:solidFill>
                    <w14:schemeClr w14:val="tx1"/>
                  </w14:solidFill>
                </w14:textFill>
              </w:rPr>
              <w:t>生活污水排入防渗旱厕，</w:t>
            </w:r>
            <w:r>
              <w:rPr>
                <w:rFonts w:hint="eastAsia" w:ascii="宋体" w:hAnsi="宋体" w:eastAsia="宋体" w:cs="宋体"/>
                <w:color w:val="000000" w:themeColor="text1"/>
                <w:sz w:val="24"/>
                <w:szCs w:val="24"/>
                <w:highlight w:val="none"/>
                <w:lang w:val="en-US" w:eastAsia="zh-CN"/>
                <w14:textFill>
                  <w14:solidFill>
                    <w14:schemeClr w14:val="tx1"/>
                  </w14:solidFill>
                </w14:textFill>
              </w:rPr>
              <w:t>冬季用电取暖</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生产过程产生少量颗粒物，在成品出口处排放少量VOCs，采取措施处理后能够满足国家及地方的</w:t>
            </w:r>
            <w:r>
              <w:rPr>
                <w:rFonts w:hint="eastAsia" w:ascii="宋体" w:hAnsi="宋体" w:cs="宋体"/>
                <w:color w:val="000000" w:themeColor="text1"/>
                <w:sz w:val="24"/>
                <w:szCs w:val="24"/>
                <w:highlight w:val="none"/>
                <w:lang w:val="en-US" w:eastAsia="zh-CN"/>
                <w14:textFill>
                  <w14:solidFill>
                    <w14:schemeClr w14:val="tx1"/>
                  </w14:solidFill>
                </w14:textFill>
              </w:rPr>
              <w:t>规定要求。生产过程产生的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残次品可破碎后全部重新投入机器再加工，原料包装袋可外售给废品回收机构，生活垃圾</w:t>
            </w:r>
            <w:r>
              <w:rPr>
                <w:rFonts w:hint="eastAsia" w:ascii="宋体" w:hAnsi="宋体" w:cs="宋体"/>
                <w:color w:val="000000" w:themeColor="text1"/>
                <w:sz w:val="24"/>
                <w:szCs w:val="24"/>
                <w:highlight w:val="none"/>
                <w:lang w:val="en-US" w:eastAsia="zh-CN"/>
                <w14:textFill>
                  <w14:solidFill>
                    <w14:schemeClr w14:val="tx1"/>
                  </w14:solidFill>
                </w14:textFill>
              </w:rPr>
              <w:t>集中收集，交由环卫拉运处理</w:t>
            </w:r>
            <w:r>
              <w:rPr>
                <w:rFonts w:hint="eastAsia" w:ascii="宋体" w:hAnsi="宋体" w:eastAsia="宋体" w:cs="宋体"/>
                <w:color w:val="000000" w:themeColor="text1"/>
                <w:sz w:val="24"/>
                <w:szCs w:val="24"/>
                <w:highlight w:val="none"/>
                <w:lang w:val="en-US" w:eastAsia="zh-CN"/>
                <w14:textFill>
                  <w14:solidFill>
                    <w14:schemeClr w14:val="tx1"/>
                  </w14:solidFill>
                </w14:textFill>
              </w:rPr>
              <w:t>。因此，本项目</w:t>
            </w:r>
            <w:r>
              <w:rPr>
                <w:rFonts w:hint="eastAsia" w:ascii="宋体" w:hAnsi="宋体" w:cs="宋体"/>
                <w:color w:val="000000" w:themeColor="text1"/>
                <w:sz w:val="24"/>
                <w:szCs w:val="24"/>
                <w:highlight w:val="none"/>
                <w:lang w:val="en-US" w:eastAsia="zh-CN"/>
                <w14:textFill>
                  <w14:solidFill>
                    <w14:schemeClr w14:val="tx1"/>
                  </w14:solidFill>
                </w14:textFill>
              </w:rPr>
              <w:t>建设</w:t>
            </w:r>
            <w:r>
              <w:rPr>
                <w:rFonts w:hint="eastAsia" w:ascii="宋体" w:hAnsi="宋体" w:eastAsia="宋体" w:cs="宋体"/>
                <w:color w:val="000000" w:themeColor="text1"/>
                <w:sz w:val="24"/>
                <w:szCs w:val="24"/>
                <w:highlight w:val="none"/>
                <w:lang w:val="en-US" w:eastAsia="zh-CN"/>
                <w14:textFill>
                  <w14:solidFill>
                    <w14:schemeClr w14:val="tx1"/>
                  </w14:solidFill>
                </w14:textFill>
              </w:rPr>
              <w:t>产生的污染物很少，对周围的环境影响小，符合要求。</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本项目的管控单元分布位置见下下图</w:t>
            </w:r>
            <w:r>
              <w:rPr>
                <w:rFonts w:hint="eastAsia" w:ascii="宋体" w:hAnsi="宋体" w:eastAsia="宋体" w:cs="宋体"/>
                <w:b w:val="0"/>
                <w:bCs w:val="0"/>
                <w:sz w:val="24"/>
                <w:szCs w:val="24"/>
                <w:lang w:val="en-US" w:eastAsia="zh-CN"/>
              </w:rPr>
              <w:t>。</w:t>
            </w:r>
          </w:p>
          <w:p>
            <w:pPr>
              <w:keepNext w:val="0"/>
              <w:keepLines w:val="0"/>
              <w:numPr>
                <w:ilvl w:val="0"/>
                <w:numId w:val="0"/>
              </w:numPr>
              <w:suppressLineNumbers w:val="0"/>
              <w:spacing w:before="0" w:beforeAutospacing="0" w:after="0" w:afterAutospacing="0" w:line="360" w:lineRule="auto"/>
              <w:ind w:left="0" w:leftChars="0" w:right="0" w:firstLine="480" w:firstLineChars="200"/>
              <w:jc w:val="center"/>
              <w:rPr>
                <w:rFonts w:hint="eastAsia" w:ascii="宋体" w:hAnsi="宋体" w:eastAsia="宋体" w:cs="宋体"/>
                <w:sz w:val="24"/>
                <w:szCs w:val="24"/>
                <w:lang w:val="en-US" w:bidi="ar-SA"/>
              </w:rPr>
            </w:pPr>
            <w:r>
              <w:rPr>
                <w:rFonts w:hint="eastAsia" w:ascii="宋体" w:hAnsi="宋体" w:eastAsia="宋体" w:cs="宋体"/>
                <w:sz w:val="24"/>
                <w:szCs w:val="24"/>
                <w:lang w:val="en-US" w:eastAsia="zh-CN" w:bidi="ar-SA"/>
              </w:rPr>
              <w:t>图1-1 本项目环境管控单元位置示意图</w:t>
            </w:r>
          </w:p>
          <w:p>
            <w:pPr>
              <w:keepNext w:val="0"/>
              <w:keepLines w:val="0"/>
              <w:numPr>
                <w:ilvl w:val="0"/>
                <w:numId w:val="0"/>
              </w:numPr>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0"/>
                <w:sz w:val="24"/>
                <w:szCs w:val="24"/>
              </w:rPr>
            </w:pPr>
          </w:p>
          <w:p>
            <w:pPr>
              <w:keepNext w:val="0"/>
              <w:keepLines w:val="0"/>
              <w:numPr>
                <w:ilvl w:val="0"/>
                <w:numId w:val="0"/>
              </w:numPr>
              <w:suppressLineNumbers w:val="0"/>
              <w:spacing w:before="0" w:beforeAutospacing="0" w:after="0" w:afterAutospacing="0" w:line="360" w:lineRule="auto"/>
              <w:ind w:left="0" w:leftChars="0" w:right="0" w:firstLine="480" w:firstLineChars="200"/>
              <w:jc w:val="both"/>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rPr>
              <w:t>(1)生态保护红线：本项目不在生态保护红线内，所在区域内无国家、省级自然保护区、人文风景名胜区、基本农田等生态环境敏感目标。</w:t>
            </w:r>
            <w:r>
              <w:rPr>
                <w:rFonts w:hint="eastAsia" w:ascii="宋体" w:hAnsi="宋体" w:eastAsia="宋体" w:cs="宋体"/>
                <w:color w:val="auto"/>
                <w:kern w:val="0"/>
                <w:sz w:val="24"/>
                <w:szCs w:val="24"/>
                <w:lang w:val="en-US" w:eastAsia="zh-CN"/>
              </w:rPr>
              <w:t>本项目位置见下图。</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宋体" w:hAnsi="宋体" w:eastAsia="宋体" w:cs="宋体"/>
                <w:color w:val="auto"/>
                <w:kern w:val="0"/>
                <w:sz w:val="24"/>
                <w:szCs w:val="24"/>
                <w:lang w:val="en-US"/>
              </w:rPr>
            </w:pP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1903730</wp:posOffset>
                      </wp:positionH>
                      <wp:positionV relativeFrom="paragraph">
                        <wp:posOffset>4455795</wp:posOffset>
                      </wp:positionV>
                      <wp:extent cx="761365" cy="245745"/>
                      <wp:effectExtent l="376555" t="343535" r="5080" b="20320"/>
                      <wp:wrapNone/>
                      <wp:docPr id="6" name="自选图形 117"/>
                      <wp:cNvGraphicFramePr/>
                      <a:graphic xmlns:a="http://schemas.openxmlformats.org/drawingml/2006/main">
                        <a:graphicData uri="http://schemas.microsoft.com/office/word/2010/wordprocessingShape">
                          <wps:wsp>
                            <wps:cNvSpPr/>
                            <wps:spPr>
                              <a:xfrm>
                                <a:off x="0" y="0"/>
                                <a:ext cx="761365" cy="245745"/>
                              </a:xfrm>
                              <a:prstGeom prst="wedgeRectCallout">
                                <a:avLst>
                                  <a:gd name="adj1" fmla="val -95032"/>
                                  <a:gd name="adj2" fmla="val -18129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项目位置</w:t>
                                  </w:r>
                                </w:p>
                              </w:txbxContent>
                            </wps:txbx>
                            <wps:bodyPr wrap="square" upright="1"/>
                          </wps:wsp>
                        </a:graphicData>
                      </a:graphic>
                    </wp:anchor>
                  </w:drawing>
                </mc:Choice>
                <mc:Fallback>
                  <w:pict>
                    <v:shape id="自选图形 117" o:spid="_x0000_s1026" o:spt="61" type="#_x0000_t61" style="position:absolute;left:0pt;margin-left:149.9pt;margin-top:350.85pt;height:19.35pt;width:59.95pt;z-index:251662336;mso-width-relative:page;mso-height-relative:page;" fillcolor="#FFFFFF" filled="t" stroked="t" coordsize="21600,21600" o:gfxdata="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BOEDdsAAAALAQAADwAAAAAAAAABACAAAAAiAAAAZHJzL2Rvd25yZXYueG1sUEsB&#10;AhQAFAAAAAgAh07iQCTjG/MrAgAAUAQAAA4AAAAAAAAAAQAgAAAAKgEAAGRycy9lMm9Eb2MueG1s&#10;UEsFBgAAAAAGAAYAWQEAAMcFAAAAAA==&#10;" adj="-9727,-28359">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项目位置</w:t>
                            </w:r>
                          </w:p>
                        </w:txbxContent>
                      </v:textbox>
                    </v:shape>
                  </w:pict>
                </mc:Fallback>
              </mc:AlternateContent>
            </w:r>
            <w:r>
              <w:rPr>
                <w:rFonts w:hint="eastAsia" w:ascii="宋体" w:hAnsi="宋体" w:eastAsia="宋体" w:cs="宋体"/>
                <w:color w:val="auto"/>
                <w:kern w:val="0"/>
                <w:sz w:val="24"/>
                <w:szCs w:val="24"/>
                <w:lang w:val="en-US" w:eastAsia="zh-CN"/>
              </w:rPr>
              <w:t>图1-2 本项目生态保护红线分布图位置示意图</w:t>
            </w:r>
          </w:p>
          <w:p>
            <w:pPr>
              <w:keepNext/>
              <w:keepLines/>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环境质量底线：</w:t>
            </w:r>
          </w:p>
          <w:p>
            <w:pPr>
              <w:keepNext w:val="0"/>
              <w:keepLines w:val="0"/>
              <w:numPr>
                <w:ilvl w:val="0"/>
                <w:numId w:val="4"/>
              </w:numPr>
              <w:suppressLineNumbers w:val="0"/>
              <w:adjustRightInd w:val="0"/>
              <w:snapToGrid w:val="0"/>
              <w:spacing w:before="0" w:beforeAutospacing="0" w:after="0" w:afterAutospacing="0" w:line="360" w:lineRule="auto"/>
              <w:ind w:left="0" w:leftChars="0" w:right="0"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本项目</w:t>
            </w:r>
            <w:r>
              <w:rPr>
                <w:rFonts w:hint="eastAsia" w:ascii="宋体" w:hAnsi="宋体" w:cs="宋体"/>
                <w:color w:val="000000" w:themeColor="text1"/>
                <w:kern w:val="0"/>
                <w:sz w:val="24"/>
                <w:szCs w:val="24"/>
                <w:lang w:val="en-US" w:eastAsia="zh-CN"/>
                <w14:textFill>
                  <w14:solidFill>
                    <w14:schemeClr w14:val="tx1"/>
                  </w14:solidFill>
                </w14:textFill>
              </w:rPr>
              <w:t>饮用水与生产用水均来自有自来水</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生活污水排入防渗旱厕，</w:t>
            </w:r>
            <w:r>
              <w:rPr>
                <w:rFonts w:hint="eastAsia" w:ascii="宋体" w:hAnsi="宋体" w:eastAsia="宋体" w:cs="宋体"/>
                <w:color w:val="000000" w:themeColor="text1"/>
                <w:kern w:val="0"/>
                <w:sz w:val="24"/>
                <w:szCs w:val="24"/>
                <w:lang w:val="en-US" w:eastAsia="zh-CN"/>
                <w14:textFill>
                  <w14:solidFill>
                    <w14:schemeClr w14:val="tx1"/>
                  </w14:solidFill>
                </w14:textFill>
              </w:rPr>
              <w:t>防渗旱厕由农户定期清掏，用于施肥；本项目生产用水主要是循环</w:t>
            </w:r>
            <w:r>
              <w:rPr>
                <w:rFonts w:hint="eastAsia" w:ascii="宋体" w:hAnsi="宋体" w:cs="宋体"/>
                <w:color w:val="000000" w:themeColor="text1"/>
                <w:kern w:val="0"/>
                <w:sz w:val="24"/>
                <w:szCs w:val="24"/>
                <w:lang w:val="en-US" w:eastAsia="zh-CN"/>
                <w14:textFill>
                  <w14:solidFill>
                    <w14:schemeClr w14:val="tx1"/>
                  </w14:solidFill>
                </w14:textFill>
              </w:rPr>
              <w:t>水</w:t>
            </w:r>
            <w:r>
              <w:rPr>
                <w:rFonts w:hint="eastAsia" w:ascii="宋体" w:hAnsi="宋体" w:eastAsia="宋体" w:cs="宋体"/>
                <w:color w:val="000000" w:themeColor="text1"/>
                <w:kern w:val="0"/>
                <w:sz w:val="24"/>
                <w:szCs w:val="24"/>
                <w:lang w:val="en-US" w:eastAsia="zh-CN"/>
                <w14:textFill>
                  <w14:solidFill>
                    <w14:schemeClr w14:val="tx1"/>
                  </w14:solidFill>
                </w14:textFill>
              </w:rPr>
              <w:t>的</w:t>
            </w:r>
            <w:r>
              <w:rPr>
                <w:rFonts w:hint="eastAsia" w:ascii="宋体" w:hAnsi="宋体" w:cs="宋体"/>
                <w:color w:val="000000" w:themeColor="text1"/>
                <w:kern w:val="0"/>
                <w:sz w:val="24"/>
                <w:szCs w:val="24"/>
                <w:lang w:val="en-US" w:eastAsia="zh-CN"/>
                <w14:textFill>
                  <w14:solidFill>
                    <w14:schemeClr w14:val="tx1"/>
                  </w14:solidFill>
                </w14:textFill>
              </w:rPr>
              <w:t>冷却</w:t>
            </w:r>
            <w:r>
              <w:rPr>
                <w:rFonts w:hint="eastAsia" w:ascii="宋体" w:hAnsi="宋体" w:eastAsia="宋体" w:cs="宋体"/>
                <w:color w:val="000000" w:themeColor="text1"/>
                <w:kern w:val="0"/>
                <w:sz w:val="24"/>
                <w:szCs w:val="24"/>
                <w:lang w:val="en-US" w:eastAsia="zh-CN"/>
                <w14:textFill>
                  <w14:solidFill>
                    <w14:schemeClr w14:val="tx1"/>
                  </w14:solidFill>
                </w14:textFill>
              </w:rPr>
              <w:t>用水，</w:t>
            </w:r>
            <w:r>
              <w:rPr>
                <w:rFonts w:hint="eastAsia" w:ascii="宋体" w:hAnsi="宋体" w:cs="宋体"/>
                <w:color w:val="000000" w:themeColor="text1"/>
                <w:kern w:val="0"/>
                <w:sz w:val="24"/>
                <w:szCs w:val="24"/>
                <w:lang w:val="en-US" w:eastAsia="zh-CN"/>
                <w14:textFill>
                  <w14:solidFill>
                    <w14:schemeClr w14:val="tx1"/>
                  </w14:solidFill>
                </w14:textFill>
              </w:rPr>
              <w:t>由城市供水管网提供</w:t>
            </w:r>
            <w:r>
              <w:rPr>
                <w:rFonts w:hint="eastAsia" w:ascii="宋体" w:hAnsi="宋体" w:eastAsia="宋体" w:cs="宋体"/>
                <w:color w:val="000000" w:themeColor="text1"/>
                <w:kern w:val="0"/>
                <w:sz w:val="24"/>
                <w:szCs w:val="24"/>
                <w:lang w:val="en-US" w:eastAsia="zh-CN"/>
                <w14:textFill>
                  <w14:solidFill>
                    <w14:schemeClr w14:val="tx1"/>
                  </w14:solidFill>
                </w14:textFill>
              </w:rPr>
              <w:t>，据项目单位提供资料，循环</w:t>
            </w:r>
            <w:r>
              <w:rPr>
                <w:rFonts w:hint="eastAsia" w:ascii="宋体" w:hAnsi="宋体" w:cs="宋体"/>
                <w:color w:val="000000" w:themeColor="text1"/>
                <w:kern w:val="0"/>
                <w:sz w:val="24"/>
                <w:szCs w:val="24"/>
                <w:lang w:val="en-US" w:eastAsia="zh-CN"/>
                <w14:textFill>
                  <w14:solidFill>
                    <w14:schemeClr w14:val="tx1"/>
                  </w14:solidFill>
                </w14:textFill>
              </w:rPr>
              <w:t>水池容量</w:t>
            </w:r>
            <w:r>
              <w:rPr>
                <w:rFonts w:hint="eastAsia" w:ascii="宋体" w:hAnsi="宋体" w:eastAsia="宋体" w:cs="宋体"/>
                <w:color w:val="000000" w:themeColor="text1"/>
                <w:kern w:val="0"/>
                <w:sz w:val="24"/>
                <w:szCs w:val="24"/>
                <w:lang w:val="en-US" w:eastAsia="zh-CN"/>
                <w14:textFill>
                  <w14:solidFill>
                    <w14:schemeClr w14:val="tx1"/>
                  </w14:solidFill>
                </w14:textFill>
              </w:rPr>
              <w:t>为</w:t>
            </w:r>
            <w:r>
              <w:rPr>
                <w:rFonts w:hint="eastAsia" w:ascii="宋体" w:hAnsi="宋体" w:cs="宋体"/>
                <w:color w:val="000000" w:themeColor="text1"/>
                <w:kern w:val="0"/>
                <w:sz w:val="24"/>
                <w:szCs w:val="24"/>
                <w:lang w:val="en-US" w:eastAsia="zh-CN"/>
                <w14:textFill>
                  <w14:solidFill>
                    <w14:schemeClr w14:val="tx1"/>
                  </w14:solidFill>
                </w14:textFill>
              </w:rPr>
              <w:t>3.6</w:t>
            </w:r>
            <w:r>
              <w:rPr>
                <w:rFonts w:hint="eastAsia" w:ascii="宋体" w:hAnsi="宋体" w:eastAsia="宋体" w:cs="宋体"/>
                <w:color w:val="000000" w:themeColor="text1"/>
                <w:kern w:val="0"/>
                <w:sz w:val="24"/>
                <w:szCs w:val="24"/>
                <w:lang w:val="en-US" w:eastAsia="zh-CN"/>
                <w14:textFill>
                  <w14:solidFill>
                    <w14:schemeClr w14:val="tx1"/>
                  </w14:solidFill>
                </w14:textFill>
              </w:rPr>
              <w:t>t，每次补水</w:t>
            </w:r>
            <w:r>
              <w:rPr>
                <w:rFonts w:hint="eastAsia" w:ascii="宋体" w:hAnsi="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t，可用1周。循环水</w:t>
            </w:r>
            <w:r>
              <w:rPr>
                <w:rFonts w:hint="eastAsia" w:ascii="宋体" w:hAnsi="宋体" w:cs="宋体"/>
                <w:color w:val="000000" w:themeColor="text1"/>
                <w:kern w:val="0"/>
                <w:sz w:val="24"/>
                <w:szCs w:val="24"/>
                <w:lang w:val="en-US" w:eastAsia="zh-CN"/>
                <w14:textFill>
                  <w14:solidFill>
                    <w14:schemeClr w14:val="tx1"/>
                  </w14:solidFill>
                </w14:textFill>
              </w:rPr>
              <w:t>池</w:t>
            </w:r>
            <w:r>
              <w:rPr>
                <w:rFonts w:hint="eastAsia" w:ascii="宋体" w:hAnsi="宋体" w:eastAsia="宋体" w:cs="宋体"/>
                <w:color w:val="000000" w:themeColor="text1"/>
                <w:kern w:val="0"/>
                <w:sz w:val="24"/>
                <w:szCs w:val="24"/>
                <w:lang w:val="en-US" w:eastAsia="zh-CN"/>
                <w14:textFill>
                  <w14:solidFill>
                    <w14:schemeClr w14:val="tx1"/>
                  </w14:solidFill>
                </w14:textFill>
              </w:rPr>
              <w:t>内的用水循环使用，不外排。循环水</w:t>
            </w:r>
            <w:r>
              <w:rPr>
                <w:rFonts w:hint="eastAsia" w:ascii="宋体" w:hAnsi="宋体" w:cs="宋体"/>
                <w:color w:val="000000" w:themeColor="text1"/>
                <w:kern w:val="0"/>
                <w:sz w:val="24"/>
                <w:szCs w:val="24"/>
                <w:lang w:val="en-US" w:eastAsia="zh-CN"/>
                <w14:textFill>
                  <w14:solidFill>
                    <w14:schemeClr w14:val="tx1"/>
                  </w14:solidFill>
                </w14:textFill>
              </w:rPr>
              <w:t>内</w:t>
            </w:r>
            <w:r>
              <w:rPr>
                <w:rFonts w:hint="eastAsia" w:ascii="宋体" w:hAnsi="宋体" w:eastAsia="宋体" w:cs="宋体"/>
                <w:color w:val="000000" w:themeColor="text1"/>
                <w:kern w:val="0"/>
                <w:sz w:val="24"/>
                <w:szCs w:val="24"/>
                <w:lang w:val="en-US" w:eastAsia="zh-CN"/>
                <w14:textFill>
                  <w14:solidFill>
                    <w14:schemeClr w14:val="tx1"/>
                  </w14:solidFill>
                </w14:textFill>
              </w:rPr>
              <w:t>不</w:t>
            </w:r>
            <w:r>
              <w:rPr>
                <w:rFonts w:hint="eastAsia" w:ascii="宋体" w:hAnsi="宋体" w:cs="宋体"/>
                <w:color w:val="000000" w:themeColor="text1"/>
                <w:kern w:val="0"/>
                <w:sz w:val="24"/>
                <w:szCs w:val="24"/>
                <w:lang w:val="en-US" w:eastAsia="zh-CN"/>
                <w14:textFill>
                  <w14:solidFill>
                    <w14:schemeClr w14:val="tx1"/>
                  </w14:solidFill>
                </w14:textFill>
              </w:rPr>
              <w:t>添加</w:t>
            </w:r>
            <w:r>
              <w:rPr>
                <w:rFonts w:hint="eastAsia" w:ascii="宋体" w:hAnsi="宋体" w:eastAsia="宋体" w:cs="宋体"/>
                <w:color w:val="000000" w:themeColor="text1"/>
                <w:kern w:val="0"/>
                <w:sz w:val="24"/>
                <w:szCs w:val="24"/>
                <w:lang w:val="en-US" w:eastAsia="zh-CN"/>
                <w14:textFill>
                  <w14:solidFill>
                    <w14:schemeClr w14:val="tx1"/>
                  </w14:solidFill>
                </w14:textFill>
              </w:rPr>
              <w:t>药剂，每年清理一次。</w:t>
            </w:r>
            <w:r>
              <w:rPr>
                <w:rFonts w:hint="eastAsia" w:ascii="宋体" w:hAnsi="宋体" w:eastAsia="宋体" w:cs="宋体"/>
                <w:color w:val="000000" w:themeColor="text1"/>
                <w:sz w:val="24"/>
                <w:szCs w:val="24"/>
                <w:lang w:val="en-US" w:eastAsia="zh-CN"/>
                <w14:textFill>
                  <w14:solidFill>
                    <w14:schemeClr w14:val="tx1"/>
                  </w14:solidFill>
                </w14:textFill>
              </w:rPr>
              <w:t>循环水铁罐的废水属于清净水，每年冬季停产的时候排放一次，再生产时重新加满。冬季清理时，剩余的废水量很少，可用容器盛装后倒入防渗旱厕。</w:t>
            </w:r>
          </w:p>
          <w:p>
            <w:pPr>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综上，本项目的运营期间的用水量少，且废水不外排，不会影响本地区的水环境质量底线。</w:t>
            </w:r>
          </w:p>
          <w:p>
            <w:pPr>
              <w:keepNext/>
              <w:keepLines/>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项目单位</w:t>
            </w:r>
            <w:r>
              <w:rPr>
                <w:rFonts w:hint="eastAsia" w:ascii="宋体" w:hAnsi="宋体" w:cs="宋体"/>
                <w:color w:val="000000" w:themeColor="text1"/>
                <w:kern w:val="0"/>
                <w:sz w:val="24"/>
                <w:szCs w:val="24"/>
                <w:lang w:val="en-US" w:eastAsia="zh-CN"/>
                <w14:textFill>
                  <w14:solidFill>
                    <w14:schemeClr w14:val="tx1"/>
                  </w14:solidFill>
                </w14:textFill>
              </w:rPr>
              <w:t>生产设备</w:t>
            </w:r>
            <w:r>
              <w:rPr>
                <w:rFonts w:hint="eastAsia" w:ascii="宋体" w:hAnsi="宋体" w:eastAsia="宋体" w:cs="宋体"/>
                <w:color w:val="000000" w:themeColor="text1"/>
                <w:kern w:val="0"/>
                <w:sz w:val="24"/>
                <w:szCs w:val="24"/>
                <w:lang w:val="en-US" w:eastAsia="zh-CN"/>
                <w14:textFill>
                  <w14:solidFill>
                    <w14:schemeClr w14:val="tx1"/>
                  </w14:solidFill>
                </w14:textFill>
              </w:rPr>
              <w:t>为一体化注塑机，工艺</w:t>
            </w:r>
            <w:r>
              <w:rPr>
                <w:rFonts w:hint="eastAsia" w:ascii="宋体" w:hAnsi="宋体" w:cs="宋体"/>
                <w:color w:val="000000" w:themeColor="text1"/>
                <w:kern w:val="0"/>
                <w:sz w:val="24"/>
                <w:szCs w:val="24"/>
                <w:lang w:val="en-US" w:eastAsia="zh-CN"/>
                <w14:textFill>
                  <w14:solidFill>
                    <w14:schemeClr w14:val="tx1"/>
                  </w14:solidFill>
                </w14:textFill>
              </w:rPr>
              <w:t>过程均</w:t>
            </w:r>
            <w:r>
              <w:rPr>
                <w:rFonts w:hint="eastAsia" w:ascii="宋体" w:hAnsi="宋体" w:eastAsia="宋体" w:cs="宋体"/>
                <w:color w:val="000000" w:themeColor="text1"/>
                <w:kern w:val="0"/>
                <w:sz w:val="24"/>
                <w:szCs w:val="24"/>
                <w:lang w:val="en-US" w:eastAsia="zh-CN"/>
                <w14:textFill>
                  <w14:solidFill>
                    <w14:schemeClr w14:val="tx1"/>
                  </w14:solidFill>
                </w14:textFill>
              </w:rPr>
              <w:t>在密闭的空间内完成，</w:t>
            </w:r>
            <w:r>
              <w:rPr>
                <w:rFonts w:hint="eastAsia" w:ascii="宋体" w:hAnsi="宋体" w:cs="宋体"/>
                <w:color w:val="000000" w:themeColor="text1"/>
                <w:kern w:val="0"/>
                <w:sz w:val="24"/>
                <w:szCs w:val="24"/>
                <w:lang w:val="en-US" w:eastAsia="zh-CN"/>
                <w14:textFill>
                  <w14:solidFill>
                    <w14:schemeClr w14:val="tx1"/>
                  </w14:solidFill>
                </w14:textFill>
              </w:rPr>
              <w:t>投料及</w:t>
            </w:r>
            <w:r>
              <w:rPr>
                <w:rFonts w:hint="eastAsia" w:ascii="宋体" w:hAnsi="宋体" w:eastAsia="宋体" w:cs="宋体"/>
                <w:color w:val="000000" w:themeColor="text1"/>
                <w:kern w:val="0"/>
                <w:sz w:val="24"/>
                <w:szCs w:val="24"/>
                <w:lang w:val="en-US" w:eastAsia="zh-CN"/>
                <w14:textFill>
                  <w14:solidFill>
                    <w14:schemeClr w14:val="tx1"/>
                  </w14:solidFill>
                </w14:textFill>
              </w:rPr>
              <w:t>破碎工序产生少量颗粒物，成品出口处产生少量挥发性有机气体，项目单位采取处理措施后</w:t>
            </w:r>
            <w:r>
              <w:rPr>
                <w:rFonts w:hint="eastAsia" w:ascii="宋体" w:hAnsi="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废气均能得到</w:t>
            </w:r>
            <w:r>
              <w:rPr>
                <w:rFonts w:hint="eastAsia" w:ascii="宋体" w:hAnsi="宋体" w:eastAsia="宋体" w:cs="宋体"/>
                <w:color w:val="000000" w:themeColor="text1"/>
                <w:kern w:val="0"/>
                <w:sz w:val="24"/>
                <w:szCs w:val="24"/>
                <w14:textFill>
                  <w14:solidFill>
                    <w14:schemeClr w14:val="tx1"/>
                  </w14:solidFill>
                </w14:textFill>
              </w:rPr>
              <w:t>有</w:t>
            </w:r>
            <w:r>
              <w:rPr>
                <w:rFonts w:hint="eastAsia" w:ascii="宋体" w:hAnsi="宋体" w:eastAsia="宋体" w:cs="宋体"/>
                <w:color w:val="000000" w:themeColor="text1"/>
                <w:kern w:val="0"/>
                <w:sz w:val="24"/>
                <w:szCs w:val="24"/>
                <w:lang w:val="en-US" w:eastAsia="zh-CN"/>
                <w14:textFill>
                  <w14:solidFill>
                    <w14:schemeClr w14:val="tx1"/>
                  </w14:solidFill>
                </w14:textFill>
              </w:rPr>
              <w:t>效</w:t>
            </w:r>
            <w:r>
              <w:rPr>
                <w:rFonts w:hint="eastAsia" w:ascii="宋体" w:hAnsi="宋体" w:eastAsia="宋体" w:cs="宋体"/>
                <w:color w:val="000000" w:themeColor="text1"/>
                <w:kern w:val="0"/>
                <w:sz w:val="24"/>
                <w:szCs w:val="24"/>
                <w14:textFill>
                  <w14:solidFill>
                    <w14:schemeClr w14:val="tx1"/>
                  </w14:solidFill>
                </w14:textFill>
              </w:rPr>
              <w:t>治理，对周围的环境影响小</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keepLines/>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项目用电依托振兴村的基础供电管网。</w:t>
            </w:r>
          </w:p>
          <w:p>
            <w:pPr>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综上，本项目生产</w:t>
            </w:r>
            <w:r>
              <w:rPr>
                <w:rFonts w:hint="eastAsia" w:ascii="宋体" w:hAnsi="宋体" w:eastAsia="宋体" w:cs="宋体"/>
                <w:color w:val="000000" w:themeColor="text1"/>
                <w:kern w:val="0"/>
                <w:sz w:val="24"/>
                <w:szCs w:val="24"/>
                <w14:textFill>
                  <w14:solidFill>
                    <w14:schemeClr w14:val="tx1"/>
                  </w14:solidFill>
                </w14:textFill>
              </w:rPr>
              <w:t>不会突破环境质量底线，符合环境质量底线要求。</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(3)资源利用上线：本项目</w:t>
            </w:r>
            <w:r>
              <w:rPr>
                <w:rFonts w:hint="eastAsia" w:ascii="宋体" w:hAnsi="宋体" w:cs="宋体"/>
                <w:color w:val="auto"/>
                <w:kern w:val="0"/>
                <w:sz w:val="24"/>
                <w:szCs w:val="24"/>
                <w:lang w:val="en-US" w:eastAsia="zh-CN"/>
              </w:rPr>
              <w:t>饮用水及生产用水由供水管网提供</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用电依托振兴村的供电管网</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本项目生产设备使用电力，冬季办公室用电取暖</w:t>
            </w:r>
            <w:r>
              <w:rPr>
                <w:rFonts w:hint="eastAsia" w:ascii="宋体" w:hAnsi="宋体" w:eastAsia="宋体" w:cs="宋体"/>
                <w:color w:val="auto"/>
                <w:kern w:val="0"/>
                <w:sz w:val="24"/>
                <w:szCs w:val="24"/>
              </w:rPr>
              <w:t>。因此，项目建设</w:t>
            </w:r>
            <w:r>
              <w:rPr>
                <w:rFonts w:hint="eastAsia" w:ascii="宋体" w:hAnsi="宋体" w:eastAsia="宋体" w:cs="宋体"/>
                <w:color w:val="auto"/>
                <w:kern w:val="0"/>
                <w:sz w:val="24"/>
                <w:szCs w:val="24"/>
                <w:lang w:val="en-US" w:eastAsia="zh-CN"/>
              </w:rPr>
              <w:t>会损耗一定的水电资源，但使用量很小，不会超过</w:t>
            </w:r>
            <w:r>
              <w:rPr>
                <w:rFonts w:hint="eastAsia" w:ascii="宋体" w:hAnsi="宋体" w:eastAsia="宋体" w:cs="宋体"/>
                <w:color w:val="auto"/>
                <w:kern w:val="0"/>
                <w:sz w:val="24"/>
                <w:szCs w:val="24"/>
              </w:rPr>
              <w:t>资源利用上线</w:t>
            </w:r>
            <w:r>
              <w:rPr>
                <w:rFonts w:hint="eastAsia" w:ascii="宋体" w:hAnsi="宋体" w:eastAsia="宋体" w:cs="宋体"/>
                <w:color w:val="auto"/>
                <w:kern w:val="0"/>
                <w:sz w:val="24"/>
                <w:szCs w:val="24"/>
                <w:lang w:val="en-US" w:eastAsia="zh-CN"/>
              </w:rPr>
              <w:t>的</w:t>
            </w:r>
            <w:r>
              <w:rPr>
                <w:rFonts w:hint="eastAsia" w:ascii="宋体" w:hAnsi="宋体" w:eastAsia="宋体" w:cs="宋体"/>
                <w:color w:val="auto"/>
                <w:kern w:val="0"/>
                <w:sz w:val="24"/>
                <w:szCs w:val="24"/>
              </w:rPr>
              <w:t>要求。</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(4)生态环境准入清单：根据《牡丹江市生态环境准入清单》（2021年6月），本项目生态环境准入清单的要求及符合性分析见下表。</w:t>
            </w:r>
          </w:p>
          <w:p>
            <w:pPr>
              <w:pStyle w:val="16"/>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4"/>
                <w:szCs w:val="24"/>
                <w:lang w:val="en-US" w:eastAsia="zh-CN"/>
              </w:rPr>
            </w:pPr>
            <w:r>
              <w:rPr>
                <w:rFonts w:hint="eastAsia" w:ascii="宋体" w:hAnsi="宋体" w:eastAsia="宋体" w:cs="宋体"/>
                <w:b/>
                <w:bCs/>
                <w:kern w:val="0"/>
                <w:sz w:val="24"/>
                <w:szCs w:val="24"/>
                <w:lang w:val="en-US" w:eastAsia="zh-CN"/>
              </w:rPr>
              <w:t>表1-1 生态环境准入清单符合性分析</w:t>
            </w:r>
          </w:p>
          <w:tbl>
            <w:tblPr>
              <w:tblStyle w:val="22"/>
              <w:tblW w:w="7057" w:type="dxa"/>
              <w:tblInd w:w="5"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3753"/>
              <w:gridCol w:w="2555"/>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4502" w:type="dxa"/>
                  <w:gridSpan w:val="2"/>
                  <w:tcBorders>
                    <w:top w:val="single" w:color="000000" w:sz="12" w:space="0"/>
                    <w:left w:val="nil"/>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环境管控编码</w:t>
                  </w:r>
                </w:p>
              </w:tc>
              <w:tc>
                <w:tcPr>
                  <w:tcW w:w="2555" w:type="dxa"/>
                  <w:tcBorders>
                    <w:top w:val="single" w:color="000000" w:sz="12" w:space="0"/>
                    <w:left w:val="single" w:color="000000" w:sz="4" w:space="0"/>
                    <w:bottom w:val="single" w:color="000000" w:sz="4" w:space="0"/>
                    <w:right w:val="nil"/>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lang w:val="en-US"/>
                    </w:rPr>
                  </w:pPr>
                  <w:r>
                    <w:rPr>
                      <w:rFonts w:hint="eastAsia" w:ascii="宋体" w:hAnsi="宋体" w:eastAsia="宋体" w:cs="宋体"/>
                      <w:i w:val="0"/>
                      <w:iCs w:val="0"/>
                      <w:color w:val="000000"/>
                      <w:kern w:val="0"/>
                      <w:sz w:val="21"/>
                      <w:szCs w:val="21"/>
                      <w:lang w:val="en-US" w:eastAsia="zh-CN" w:bidi="ar"/>
                    </w:rPr>
                    <w:t>ZH23108430002</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4502"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环境管控单元名称</w:t>
                  </w:r>
                </w:p>
              </w:tc>
              <w:tc>
                <w:tcPr>
                  <w:tcW w:w="2555"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lang w:val="en-US"/>
                    </w:rPr>
                  </w:pPr>
                  <w:r>
                    <w:rPr>
                      <w:rFonts w:hint="eastAsia" w:ascii="宋体" w:hAnsi="宋体" w:eastAsia="宋体" w:cs="宋体"/>
                      <w:i w:val="0"/>
                      <w:iCs w:val="0"/>
                      <w:color w:val="000000"/>
                      <w:kern w:val="0"/>
                      <w:sz w:val="21"/>
                      <w:szCs w:val="21"/>
                      <w:lang w:val="en-US" w:eastAsia="zh-CN" w:bidi="ar"/>
                    </w:rPr>
                    <w:t>其他区域</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trPr>
              <w:tc>
                <w:tcPr>
                  <w:tcW w:w="4502"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管控单元类别</w:t>
                  </w:r>
                </w:p>
              </w:tc>
              <w:tc>
                <w:tcPr>
                  <w:tcW w:w="2555"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lang w:val="en-US" w:eastAsia="zh-CN"/>
                    </w:rPr>
                  </w:pPr>
                  <w:r>
                    <w:rPr>
                      <w:rFonts w:hint="eastAsia" w:ascii="宋体" w:hAnsi="宋体" w:eastAsia="宋体" w:cs="宋体"/>
                      <w:i w:val="0"/>
                      <w:iCs w:val="0"/>
                      <w:color w:val="000000"/>
                      <w:kern w:val="0"/>
                      <w:sz w:val="21"/>
                      <w:szCs w:val="21"/>
                      <w:lang w:val="en-US" w:eastAsia="zh-CN"/>
                    </w:rPr>
                    <w:t>一般管控单元</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410" w:hRule="atLeast"/>
              </w:trPr>
              <w:tc>
                <w:tcPr>
                  <w:tcW w:w="4502" w:type="dxa"/>
                  <w:gridSpan w:val="2"/>
                  <w:tcBorders>
                    <w:top w:val="single" w:color="000000" w:sz="4" w:space="0"/>
                    <w:left w:val="nil"/>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管控要求</w:t>
                  </w:r>
                </w:p>
              </w:tc>
              <w:tc>
                <w:tcPr>
                  <w:tcW w:w="2555"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符合性分析</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4319" w:hRule="atLeast"/>
              </w:trPr>
              <w:tc>
                <w:tcPr>
                  <w:tcW w:w="749" w:type="dxa"/>
                  <w:tcBorders>
                    <w:top w:val="single" w:color="000000" w:sz="4" w:space="0"/>
                    <w:left w:val="nil"/>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空间布局约束</w:t>
                  </w:r>
                </w:p>
              </w:tc>
              <w:tc>
                <w:tcPr>
                  <w:tcW w:w="375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both"/>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贯彻实施国家与省大气、水污染相关各项标准,深化重点行业污染治理,推进国家和省、市确定的各项产业结构调整措施。1.引导工业项目向开发区集中,促进产业集聚、资源集约、绿色发展。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555" w:type="dxa"/>
                  <w:tcBorders>
                    <w:top w:val="single" w:color="000000" w:sz="4" w:space="0"/>
                    <w:left w:val="single" w:color="000000" w:sz="4" w:space="0"/>
                    <w:bottom w:val="single" w:color="000000" w:sz="4" w:space="0"/>
                    <w:right w:val="nil"/>
                  </w:tcBorders>
                  <w:vAlign w:val="center"/>
                </w:tcPr>
                <w:p>
                  <w:pPr>
                    <w:keepNext w:val="0"/>
                    <w:keepLines w:val="0"/>
                    <w:widowControl/>
                    <w:suppressLineNumbers w:val="0"/>
                    <w:autoSpaceDE w:val="0"/>
                    <w:autoSpaceDN/>
                    <w:adjustRightInd w:val="0"/>
                    <w:snapToGrid w:val="0"/>
                    <w:spacing w:before="0" w:beforeAutospacing="0" w:after="0" w:afterAutospacing="0" w:line="312" w:lineRule="auto"/>
                    <w:ind w:left="0" w:right="0"/>
                    <w:jc w:val="left"/>
                    <w:textAlignment w:val="center"/>
                    <w:rPr>
                      <w:rFonts w:hint="eastAsia" w:ascii="宋体" w:hAnsi="宋体" w:eastAsia="宋体" w:cs="宋体"/>
                      <w:i w:val="0"/>
                      <w:iCs w:val="0"/>
                      <w:color w:val="000000"/>
                      <w:kern w:val="0"/>
                      <w:sz w:val="21"/>
                      <w:szCs w:val="21"/>
                      <w:lang w:val="en-US"/>
                    </w:rPr>
                  </w:pPr>
                  <w:r>
                    <w:rPr>
                      <w:rFonts w:hint="eastAsia" w:ascii="宋体" w:hAnsi="宋体" w:eastAsia="宋体" w:cs="宋体"/>
                      <w:i w:val="0"/>
                      <w:iCs w:val="0"/>
                      <w:color w:val="000000"/>
                      <w:kern w:val="0"/>
                      <w:sz w:val="21"/>
                      <w:szCs w:val="21"/>
                      <w:lang w:val="en-US" w:eastAsia="zh-CN" w:bidi="ar"/>
                    </w:rPr>
                    <w:t>本项目为塑料果筐生产，原料为塑料颗粒，主要生产设备为注塑机，年产50万个塑料果筐，生产工艺简单，产品实用性强，生产过程污染物产生量少。本项目建设不是限制类和淘汰类企业，属于允许建设项目，符合空间布局约束的要求。</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四、与《黑龙江省重点行业挥发性有机物综合治理行动方案》的符合性分析</w:t>
            </w:r>
          </w:p>
          <w:p>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黑龙江省重点行业挥发性有机物综合治理行动方案》中要求：“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本项目为塑料筐的生产项目，生产工艺简单，用料单一，污染物产生量少，产生的挥发性有机物采用“集气罩收集+活性炭吸附</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15m高排气筒”的处理措施，经过处理后，废气的有组织排放和无组织排放均符合国家和地方的相关规定，符合《黑龙江省重点行业挥发性有机物综合治理行动方案》要求。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五、《黑龙江省大气污染防治条例》的符合性分析</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《黑龙江省大气污染防治条例》中要求“第四十条 下列产生含挥发性有机物废气的活动，应当按照国家规定在密闭空间或者设备中进行，并按照规定安装、使用污染防治设施；无法密闭的，应当采取措施减少废气排放：</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（一）煤炭加工与转化、石油化工生产；</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（二）燃油、溶剂的储存、运输和销售；</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（三）涂料、油墨、胶粘剂、农药等以挥发性有机物为原材料的生产；</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（四）涂装、印刷、粘合和工业清洗；</w:t>
            </w:r>
          </w:p>
          <w:p>
            <w:pPr>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（五）其他产生含挥发性有机物废气的活动。”</w:t>
            </w:r>
          </w:p>
          <w:p>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本项目为塑料果筐生产项目，原料为塑料颗粒，一体化注塑机生产，热熔工艺</w:t>
            </w:r>
            <w:r>
              <w:rPr>
                <w:rFonts w:hint="default" w:ascii="Times New Roman" w:hAnsi="Times New Roman" w:eastAsia="宋体" w:cs="Times New Roman"/>
                <w:color w:val="auto"/>
                <w:kern w:val="0"/>
                <w:sz w:val="24"/>
                <w:szCs w:val="24"/>
                <w:lang w:val="en-US" w:eastAsia="zh-CN" w:bidi="ar-SA"/>
              </w:rPr>
              <w:t>在注塑机的密闭空间内进行，</w:t>
            </w:r>
            <w:r>
              <w:rPr>
                <w:rFonts w:hint="default" w:ascii="Times New Roman" w:hAnsi="Times New Roman" w:cs="Times New Roman"/>
                <w:color w:val="auto"/>
                <w:kern w:val="0"/>
                <w:sz w:val="24"/>
                <w:szCs w:val="24"/>
                <w:lang w:val="en-US" w:eastAsia="zh-CN" w:bidi="ar-SA"/>
              </w:rPr>
              <w:t>冷却</w:t>
            </w:r>
            <w:r>
              <w:rPr>
                <w:rFonts w:hint="default" w:ascii="Times New Roman" w:hAnsi="Times New Roman" w:eastAsia="宋体" w:cs="Times New Roman"/>
                <w:color w:val="auto"/>
                <w:kern w:val="0"/>
                <w:sz w:val="24"/>
                <w:szCs w:val="24"/>
                <w:lang w:val="en-US" w:eastAsia="zh-CN" w:bidi="ar-SA"/>
              </w:rPr>
              <w:t>后取出成品时会有少量的挥发性有机气体排出，采用“集气罩收集+活性炭吸附</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15m高排气筒”的处理措施后废气污染物的排放满足国家和地方的相关规定，对环境影响小，符合《黑龙江省大气污染防治条例》要求</w:t>
            </w:r>
            <w:r>
              <w:rPr>
                <w:rFonts w:hint="default" w:ascii="Times New Roman" w:hAnsi="Times New Roman" w:cs="Times New Roman"/>
                <w:color w:val="auto"/>
                <w:kern w:val="0"/>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六、与《黑龙江省重点行业挥发性有机物综合治理行动方案》的符合性分析</w:t>
            </w:r>
          </w:p>
          <w:p>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黑龙江省重点行业挥发性有机物综合治理行动方案》中要求：“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pStyle w:val="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本项目为塑料筐的生产项目，生产工艺简单，用料单一，污染物产生量少，产生的挥发性有机物废气采用“集气罩收集+活性炭吸附</w:t>
            </w:r>
            <w:r>
              <w:rPr>
                <w:rFonts w:hint="eastAsia" w:ascii="宋体" w:hAnsi="宋体" w:cs="宋体"/>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5m高排气筒”的处理措施，经过处理后，废气的有组织排放和无组织排放均符合国家和地方的相关规定，符合《黑龙江省重点行业挥发性有机物综合治理行动方案》要求。</w:t>
            </w: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pPr w:leftFromText="180" w:rightFromText="180" w:vertAnchor="text" w:tblpXSpec="center" w:tblpY="1"/>
        <w:tblOverlap w:val="never"/>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75" w:hRule="atLeast"/>
        </w:trPr>
        <w:tc>
          <w:tcPr>
            <w:tcW w:w="449" w:type="dxa"/>
            <w:vAlign w:val="center"/>
          </w:tcPr>
          <w:p>
            <w:pPr>
              <w:pStyle w:val="18"/>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建设内容</w:t>
            </w:r>
          </w:p>
        </w:tc>
        <w:tc>
          <w:tcPr>
            <w:tcW w:w="8611"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1、项目概况</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sz w:val="24"/>
                <w:szCs w:val="24"/>
                <w:lang w:val="en-US" w:eastAsia="zh-CN"/>
              </w:rPr>
            </w:pPr>
            <w:r>
              <w:rPr>
                <w:rFonts w:hint="eastAsia" w:ascii="宋体" w:hAnsi="宋体" w:eastAsia="宋体" w:cs="宋体"/>
                <w:sz w:val="24"/>
                <w:szCs w:val="24"/>
                <w:vertAlign w:val="baseline"/>
                <w:lang w:val="en-US" w:eastAsia="zh-CN"/>
              </w:rPr>
              <w:t>本项目</w:t>
            </w:r>
            <w:r>
              <w:rPr>
                <w:rFonts w:hint="eastAsia" w:ascii="宋体" w:hAnsi="宋体" w:eastAsia="宋体" w:cs="宋体"/>
                <w:sz w:val="24"/>
                <w:szCs w:val="24"/>
                <w:lang w:val="en-US" w:eastAsia="zh-CN"/>
              </w:rPr>
              <w:t>位于黑龙江省牡丹江市宁安市东京城镇振兴村，</w:t>
            </w:r>
            <w:r>
              <w:rPr>
                <w:rFonts w:hint="eastAsia" w:cs="Times New Roman"/>
                <w:color w:val="auto"/>
                <w:sz w:val="24"/>
                <w:szCs w:val="24"/>
                <w:lang w:val="en-US" w:eastAsia="zh-CN"/>
              </w:rPr>
              <w:t>东侧为闲置厂房，南侧为闲置居民房屋，西侧为废油加工厂及居民住宅，北侧为闲置厂房</w:t>
            </w:r>
            <w:r>
              <w:rPr>
                <w:rFonts w:hint="default" w:ascii="Times New Roman" w:hAnsi="Times New Roman" w:eastAsia="宋体" w:cs="Times New Roman"/>
                <w:color w:val="auto"/>
                <w:sz w:val="24"/>
                <w:szCs w:val="24"/>
                <w:lang w:val="en-US" w:eastAsia="zh-CN"/>
              </w:rPr>
              <w:t>。</w:t>
            </w:r>
            <w:r>
              <w:rPr>
                <w:rFonts w:hint="eastAsia" w:ascii="宋体" w:hAnsi="宋体" w:eastAsia="宋体" w:cs="宋体"/>
                <w:sz w:val="24"/>
                <w:szCs w:val="24"/>
                <w:lang w:val="en-US" w:eastAsia="zh-CN"/>
              </w:rPr>
              <w:t>本项目位置示意图见附图1、周边环境见附图2。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en-US" w:eastAsia="zh-CN"/>
              </w:rPr>
              <w:t>项目单位投资</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00万元，拟建设1个生</w:t>
            </w:r>
            <w:r>
              <w:rPr>
                <w:rFonts w:hint="eastAsia" w:ascii="宋体" w:hAnsi="宋体" w:eastAsia="宋体" w:cs="宋体"/>
                <w:sz w:val="24"/>
                <w:szCs w:val="24"/>
                <w:highlight w:val="none"/>
                <w:lang w:val="en-US" w:eastAsia="zh-CN"/>
              </w:rPr>
              <w:t>产车间，</w:t>
            </w:r>
            <w:r>
              <w:rPr>
                <w:rFonts w:hint="eastAsia" w:ascii="宋体" w:hAnsi="宋体" w:eastAsia="宋体" w:cs="宋体"/>
                <w:sz w:val="24"/>
                <w:szCs w:val="24"/>
                <w:highlight w:val="none"/>
                <w:lang w:eastAsia="zh-CN"/>
              </w:rPr>
              <w:t>建筑面积</w:t>
            </w:r>
            <w:r>
              <w:rPr>
                <w:rFonts w:hint="eastAsia" w:ascii="宋体" w:hAnsi="宋体" w:cs="宋体"/>
                <w:sz w:val="24"/>
                <w:szCs w:val="24"/>
                <w:highlight w:val="none"/>
                <w:lang w:val="en-US" w:eastAsia="zh-CN"/>
              </w:rPr>
              <w:t>288</w:t>
            </w:r>
            <w:r>
              <w:rPr>
                <w:rFonts w:hint="eastAsia" w:ascii="宋体" w:hAnsi="宋体" w:eastAsia="宋体" w:cs="宋体"/>
                <w:sz w:val="24"/>
                <w:szCs w:val="24"/>
                <w:highlight w:val="none"/>
                <w:lang w:val="en-US" w:eastAsia="zh-CN"/>
              </w:rPr>
              <w:t>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内</w:t>
            </w:r>
            <w:r>
              <w:rPr>
                <w:rFonts w:hint="eastAsia" w:ascii="宋体" w:hAnsi="宋体" w:cs="宋体"/>
                <w:color w:val="000000" w:themeColor="text1"/>
                <w:sz w:val="24"/>
                <w:szCs w:val="24"/>
                <w:lang w:val="en-US" w:eastAsia="zh-CN"/>
                <w14:textFill>
                  <w14:solidFill>
                    <w14:schemeClr w14:val="tx1"/>
                  </w14:solidFill>
                </w14:textFill>
              </w:rPr>
              <w:t>置5</w:t>
            </w:r>
            <w:r>
              <w:rPr>
                <w:rFonts w:hint="eastAsia" w:ascii="宋体" w:hAnsi="宋体" w:eastAsia="宋体" w:cs="宋体"/>
                <w:color w:val="000000" w:themeColor="text1"/>
                <w:sz w:val="24"/>
                <w:szCs w:val="24"/>
                <w:lang w:val="en-US" w:eastAsia="zh-CN"/>
                <w14:textFill>
                  <w14:solidFill>
                    <w14:schemeClr w14:val="tx1"/>
                  </w14:solidFill>
                </w14:textFill>
              </w:rPr>
              <w:t>台</w:t>
            </w:r>
            <w:r>
              <w:rPr>
                <w:rFonts w:hint="eastAsia" w:ascii="宋体" w:hAnsi="宋体" w:eastAsia="宋体" w:cs="宋体"/>
                <w:color w:val="000000" w:themeColor="text1"/>
                <w:sz w:val="24"/>
                <w:szCs w:val="24"/>
                <w:lang w:eastAsia="zh-CN"/>
                <w14:textFill>
                  <w14:solidFill>
                    <w14:schemeClr w14:val="tx1"/>
                  </w14:solidFill>
                </w14:textFill>
              </w:rPr>
              <w:t>注塑机、</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台投料机</w:t>
            </w:r>
            <w:r>
              <w:rPr>
                <w:rFonts w:hint="eastAsia" w:ascii="宋体" w:hAnsi="宋体" w:cs="宋体"/>
                <w:color w:val="000000" w:themeColor="text1"/>
                <w:sz w:val="24"/>
                <w:szCs w:val="24"/>
                <w:lang w:val="en-US" w:eastAsia="zh-CN"/>
                <w14:textFill>
                  <w14:solidFill>
                    <w14:schemeClr w14:val="tx1"/>
                  </w14:solidFill>
                </w14:textFill>
              </w:rPr>
              <w:t>、1台粉碎机</w:t>
            </w:r>
            <w:r>
              <w:rPr>
                <w:rFonts w:hint="eastAsia" w:ascii="宋体" w:hAnsi="宋体" w:eastAsia="宋体" w:cs="宋体"/>
                <w:color w:val="000000" w:themeColor="text1"/>
                <w:sz w:val="24"/>
                <w:szCs w:val="24"/>
                <w:lang w:val="en-US" w:eastAsia="zh-CN"/>
                <w14:textFill>
                  <w14:solidFill>
                    <w14:schemeClr w14:val="tx1"/>
                  </w14:solidFill>
                </w14:textFill>
              </w:rPr>
              <w:t>及1个循环水</w:t>
            </w:r>
            <w:r>
              <w:rPr>
                <w:rFonts w:hint="eastAsia" w:ascii="宋体" w:hAnsi="宋体" w:cs="宋体"/>
                <w:color w:val="000000" w:themeColor="text1"/>
                <w:sz w:val="24"/>
                <w:szCs w:val="24"/>
                <w:lang w:val="en-US" w:eastAsia="zh-CN"/>
                <w14:textFill>
                  <w14:solidFill>
                    <w14:schemeClr w14:val="tx1"/>
                  </w14:solidFill>
                </w14:textFill>
              </w:rPr>
              <w:t>池。</w:t>
            </w:r>
            <w:r>
              <w:rPr>
                <w:rFonts w:hint="eastAsia" w:ascii="宋体" w:hAnsi="宋体" w:eastAsia="宋体" w:cs="宋体"/>
                <w:color w:val="000000" w:themeColor="text1"/>
                <w:sz w:val="24"/>
                <w:szCs w:val="24"/>
                <w:lang w:val="en-US" w:eastAsia="zh-CN"/>
                <w14:textFill>
                  <w14:solidFill>
                    <w14:schemeClr w14:val="tx1"/>
                  </w14:solidFill>
                </w14:textFill>
              </w:rPr>
              <w:t>环保设备主要是</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个集气罩</w:t>
            </w:r>
            <w:r>
              <w:rPr>
                <w:rFonts w:hint="eastAsia" w:ascii="宋体" w:hAnsi="宋体" w:cs="宋体"/>
                <w:color w:val="000000" w:themeColor="text1"/>
                <w:sz w:val="24"/>
                <w:szCs w:val="24"/>
                <w:lang w:val="en-US" w:eastAsia="zh-CN"/>
                <w14:textFill>
                  <w14:solidFill>
                    <w14:schemeClr w14:val="tx1"/>
                  </w14:solidFill>
                </w14:textFill>
              </w:rPr>
              <w:t>+集气设备</w:t>
            </w:r>
            <w:r>
              <w:rPr>
                <w:rFonts w:hint="eastAsia" w:ascii="宋体" w:hAnsi="宋体" w:eastAsia="宋体" w:cs="宋体"/>
                <w:color w:val="000000" w:themeColor="text1"/>
                <w:sz w:val="24"/>
                <w:szCs w:val="24"/>
                <w:lang w:val="en-US" w:eastAsia="zh-CN"/>
                <w14:textFill>
                  <w14:solidFill>
                    <w14:schemeClr w14:val="tx1"/>
                  </w14:solidFill>
                </w14:textFill>
              </w:rPr>
              <w:t>、1个活性炭吸附箱。</w:t>
            </w:r>
            <w:r>
              <w:rPr>
                <w:rFonts w:hint="eastAsia" w:ascii="宋体" w:hAnsi="宋体" w:eastAsia="宋体" w:cs="宋体"/>
                <w:sz w:val="24"/>
                <w:szCs w:val="24"/>
                <w:lang w:val="en-US" w:eastAsia="zh-CN"/>
              </w:rPr>
              <w:t>本</w:t>
            </w:r>
            <w:r>
              <w:rPr>
                <w:rFonts w:hint="eastAsia" w:ascii="宋体" w:hAnsi="宋体" w:eastAsia="宋体" w:cs="宋体"/>
                <w:sz w:val="24"/>
                <w:szCs w:val="24"/>
                <w:lang w:val="zh-CN" w:eastAsia="zh-CN"/>
              </w:rPr>
              <w:t>项目</w:t>
            </w:r>
            <w:r>
              <w:rPr>
                <w:rFonts w:hint="eastAsia" w:ascii="宋体" w:hAnsi="宋体" w:eastAsia="宋体" w:cs="宋体"/>
                <w:sz w:val="24"/>
                <w:szCs w:val="24"/>
                <w:lang w:val="en-US" w:eastAsia="zh-CN"/>
              </w:rPr>
              <w:t>的原材料为非再生塑料颗粒，主要成分是聚丙烯</w:t>
            </w:r>
            <w:r>
              <w:rPr>
                <w:rFonts w:hint="eastAsia" w:ascii="宋体" w:hAnsi="宋体" w:cs="宋体"/>
                <w:sz w:val="24"/>
                <w:szCs w:val="24"/>
                <w:lang w:val="en-US" w:eastAsia="zh-CN"/>
              </w:rPr>
              <w:t>，同时使用少量的聚乙烯</w:t>
            </w:r>
            <w:r>
              <w:rPr>
                <w:rFonts w:hint="eastAsia" w:ascii="宋体" w:hAnsi="宋体" w:eastAsia="宋体" w:cs="宋体"/>
                <w:sz w:val="24"/>
                <w:szCs w:val="24"/>
                <w:lang w:val="en-US" w:eastAsia="zh-CN"/>
              </w:rPr>
              <w:t>，用量为</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00t/a</w:t>
            </w:r>
            <w:r>
              <w:rPr>
                <w:rFonts w:hint="eastAsia" w:ascii="宋体" w:hAnsi="宋体" w:cs="宋体"/>
                <w:sz w:val="24"/>
                <w:szCs w:val="24"/>
                <w:lang w:val="en-US" w:eastAsia="zh-CN"/>
              </w:rPr>
              <w:t>（聚丙烯）</w:t>
            </w:r>
            <w:r>
              <w:rPr>
                <w:rFonts w:hint="eastAsia" w:ascii="宋体" w:hAnsi="宋体" w:eastAsia="宋体" w:cs="宋体"/>
                <w:sz w:val="24"/>
                <w:szCs w:val="24"/>
                <w:lang w:val="en-US" w:eastAsia="zh-CN"/>
              </w:rPr>
              <w:t>，成品</w:t>
            </w:r>
            <w:r>
              <w:rPr>
                <w:rFonts w:hint="eastAsia" w:ascii="宋体" w:hAnsi="宋体" w:eastAsia="宋体" w:cs="宋体"/>
                <w:sz w:val="24"/>
                <w:szCs w:val="24"/>
                <w:lang w:val="zh-CN" w:eastAsia="zh-CN"/>
              </w:rPr>
              <w:t>塑料果筐</w:t>
            </w:r>
            <w:r>
              <w:rPr>
                <w:rFonts w:hint="eastAsia" w:ascii="宋体" w:hAnsi="宋体" w:eastAsia="宋体" w:cs="宋体"/>
                <w:sz w:val="24"/>
                <w:szCs w:val="24"/>
                <w:lang w:val="en-US" w:eastAsia="zh-CN"/>
              </w:rPr>
              <w:t>的产量为</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0万个/年，职工人数10人，工作时间</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00d</w:t>
            </w:r>
            <w:r>
              <w:rPr>
                <w:rFonts w:hint="eastAsia" w:ascii="宋体" w:hAnsi="宋体" w:cs="宋体"/>
                <w:sz w:val="24"/>
                <w:szCs w:val="24"/>
                <w:lang w:val="en-US" w:eastAsia="zh-CN"/>
              </w:rPr>
              <w:t>，每天8h</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2、建设内容</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本项目主要建设内容见下表。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表2</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本</w:t>
            </w:r>
            <w:r>
              <w:rPr>
                <w:rFonts w:hint="default" w:ascii="Times New Roman" w:hAnsi="Times New Roman" w:eastAsia="宋体" w:cs="Times New Roman"/>
                <w:b/>
                <w:bCs/>
                <w:sz w:val="24"/>
                <w:szCs w:val="24"/>
              </w:rPr>
              <w:t>项目建设</w:t>
            </w:r>
            <w:r>
              <w:rPr>
                <w:rFonts w:hint="default" w:ascii="Times New Roman" w:hAnsi="Times New Roman" w:eastAsia="宋体" w:cs="Times New Roman"/>
                <w:b/>
                <w:bCs/>
                <w:sz w:val="24"/>
                <w:szCs w:val="24"/>
                <w:lang w:val="en-US" w:eastAsia="zh-CN"/>
              </w:rPr>
              <w:t>内容</w:t>
            </w:r>
            <w:r>
              <w:rPr>
                <w:rFonts w:hint="default" w:ascii="Times New Roman" w:hAnsi="Times New Roman" w:eastAsia="宋体" w:cs="Times New Roman"/>
                <w:b/>
                <w:bCs/>
                <w:sz w:val="24"/>
                <w:szCs w:val="24"/>
                <w:lang w:eastAsia="zh-CN"/>
              </w:rPr>
              <w:t>一览表</w:t>
            </w:r>
          </w:p>
          <w:tbl>
            <w:tblPr>
              <w:tblStyle w:val="22"/>
              <w:tblW w:w="8395" w:type="dxa"/>
              <w:jc w:val="center"/>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1290"/>
              <w:gridCol w:w="5134"/>
              <w:gridCol w:w="1187"/>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tcBorders>
                    <w:top w:val="single" w:color="000000" w:sz="12" w:space="0"/>
                    <w:left w:val="nil"/>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90"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5134"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建设内容及规模</w:t>
                  </w:r>
                </w:p>
              </w:tc>
              <w:tc>
                <w:tcPr>
                  <w:tcW w:w="1187" w:type="dxa"/>
                  <w:tcBorders>
                    <w:top w:val="single" w:color="000000" w:sz="12" w:space="0"/>
                    <w:left w:val="single" w:color="000000" w:sz="4" w:space="0"/>
                    <w:bottom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tcBorders>
                    <w:top w:val="single" w:color="000000" w:sz="4" w:space="0"/>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工程</w:t>
                  </w: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生产车间</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层</w:t>
                  </w:r>
                  <w:r>
                    <w:rPr>
                      <w:rFonts w:hint="default" w:ascii="Times New Roman" w:hAnsi="Times New Roman" w:eastAsia="宋体" w:cs="Times New Roman"/>
                      <w:sz w:val="21"/>
                      <w:szCs w:val="21"/>
                      <w:lang w:val="en-US" w:eastAsia="zh-CN"/>
                    </w:rPr>
                    <w:t>砖混结构</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层高5m，</w:t>
                  </w:r>
                  <w:r>
                    <w:rPr>
                      <w:rFonts w:hint="default" w:ascii="Times New Roman" w:hAnsi="Times New Roman" w:eastAsia="宋体" w:cs="Times New Roman"/>
                      <w:sz w:val="21"/>
                      <w:szCs w:val="21"/>
                      <w:highlight w:val="none"/>
                      <w:lang w:eastAsia="zh-CN"/>
                    </w:rPr>
                    <w:t>建筑面积为</w:t>
                  </w:r>
                  <w:r>
                    <w:rPr>
                      <w:rFonts w:hint="default" w:ascii="Times New Roman" w:hAnsi="Times New Roman" w:cs="Times New Roman"/>
                      <w:sz w:val="21"/>
                      <w:szCs w:val="21"/>
                      <w:highlight w:val="none"/>
                      <w:lang w:val="en-US" w:eastAsia="zh-CN"/>
                    </w:rPr>
                    <w:t>288</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lang w:val="en-US" w:eastAsia="zh-CN"/>
                    </w:rPr>
                    <w:t>，内置</w:t>
                  </w: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lang w:val="en-US" w:eastAsia="zh-CN"/>
                    </w:rPr>
                    <w:t>台注塑机，</w:t>
                  </w: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lang w:val="en-US" w:eastAsia="zh-CN"/>
                    </w:rPr>
                    <w:t>台投料机、</w:t>
                  </w:r>
                  <w:r>
                    <w:rPr>
                      <w:rFonts w:hint="default" w:ascii="Times New Roman" w:hAnsi="Times New Roman" w:cs="Times New Roman"/>
                      <w:sz w:val="21"/>
                      <w:szCs w:val="21"/>
                      <w:lang w:val="en-US" w:eastAsia="zh-CN"/>
                    </w:rPr>
                    <w:t>1个循环水池</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lang w:val="en-US" w:eastAsia="zh-CN"/>
                    </w:rPr>
                    <w:t>个集气罩、1个活性炭吸附箱、1个风机。</w:t>
                  </w:r>
                </w:p>
              </w:tc>
              <w:tc>
                <w:tcPr>
                  <w:tcW w:w="1187" w:type="dxa"/>
                  <w:tcBorders>
                    <w:top w:val="single" w:color="000000"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厂房新建，设备安装</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restart"/>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危废间</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建筑面积</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w:t>
                  </w:r>
                  <w:r>
                    <w:rPr>
                      <w:rFonts w:hint="eastAsia" w:ascii="Times New Roman" w:hAnsi="Times New Roman" w:cs="Times New Roman"/>
                      <w:color w:val="000000" w:themeColor="text1"/>
                      <w:sz w:val="21"/>
                      <w:szCs w:val="21"/>
                      <w:lang w:val="en-US" w:eastAsia="zh-CN"/>
                      <w14:textFill>
                        <w14:solidFill>
                          <w14:schemeClr w14:val="tx1"/>
                        </w14:solidFill>
                      </w14:textFill>
                    </w:rPr>
                    <w:t>原料库房</w:t>
                  </w:r>
                  <w:r>
                    <w:rPr>
                      <w:rFonts w:hint="default" w:ascii="Times New Roman" w:hAnsi="Times New Roman" w:cs="Times New Roman"/>
                      <w:color w:val="000000" w:themeColor="text1"/>
                      <w:sz w:val="21"/>
                      <w:szCs w:val="21"/>
                      <w:lang w:val="en-US" w:eastAsia="zh-CN"/>
                      <w14:textFill>
                        <w14:solidFill>
                          <w14:schemeClr w14:val="tx1"/>
                        </w14:solidFill>
                      </w14:textFill>
                    </w:rPr>
                    <w:t>的东侧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，用于存放废活性炭</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87" w:type="dxa"/>
                  <w:tcBorders>
                    <w:top w:val="single" w:color="000000"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原有车间分隔</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原料库房</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建筑面</w:t>
                  </w:r>
                  <w:r>
                    <w:rPr>
                      <w:rFonts w:hint="default" w:ascii="Times New Roman" w:hAnsi="Times New Roman" w:eastAsia="宋体" w:cs="Times New Roman"/>
                      <w:sz w:val="21"/>
                      <w:szCs w:val="21"/>
                      <w:highlight w:val="none"/>
                      <w:lang w:val="en-US" w:eastAsia="zh-CN"/>
                    </w:rPr>
                    <w:t>积</w:t>
                  </w:r>
                  <w:r>
                    <w:rPr>
                      <w:rFonts w:hint="default" w:ascii="Times New Roman" w:hAnsi="Times New Roman" w:cs="Times New Roman"/>
                      <w:sz w:val="21"/>
                      <w:szCs w:val="21"/>
                      <w:highlight w:val="none"/>
                      <w:lang w:val="en-US" w:eastAsia="zh-CN"/>
                    </w:rPr>
                    <w:t>380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，存</w:t>
                  </w:r>
                  <w:r>
                    <w:rPr>
                      <w:rFonts w:hint="default" w:ascii="Times New Roman" w:hAnsi="Times New Roman" w:eastAsia="宋体" w:cs="Times New Roman"/>
                      <w:sz w:val="21"/>
                      <w:szCs w:val="21"/>
                      <w:lang w:val="en-US" w:eastAsia="zh-CN"/>
                    </w:rPr>
                    <w:t>放原材料。原材料为25kg袋包，贮存量200t，800包。</w:t>
                  </w:r>
                </w:p>
              </w:tc>
              <w:tc>
                <w:tcPr>
                  <w:tcW w:w="1187" w:type="dxa"/>
                  <w:tcBorders>
                    <w:top w:val="single" w:color="000000"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依托</w:t>
                  </w:r>
                  <w:r>
                    <w:rPr>
                      <w:rFonts w:hint="default" w:ascii="Times New Roman" w:hAnsi="Times New Roman" w:cs="Times New Roman"/>
                      <w:sz w:val="21"/>
                      <w:szCs w:val="21"/>
                      <w:lang w:val="en-US" w:eastAsia="zh-CN"/>
                    </w:rPr>
                    <w:t>现有建筑</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成品库房</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建筑面</w:t>
                  </w:r>
                  <w:r>
                    <w:rPr>
                      <w:rFonts w:hint="default" w:ascii="Times New Roman" w:hAnsi="Times New Roman" w:eastAsia="宋体" w:cs="Times New Roman"/>
                      <w:sz w:val="21"/>
                      <w:szCs w:val="21"/>
                      <w:highlight w:val="none"/>
                      <w:lang w:val="en-US" w:eastAsia="zh-CN"/>
                    </w:rPr>
                    <w:t>积</w:t>
                  </w:r>
                  <w:r>
                    <w:rPr>
                      <w:rFonts w:hint="default" w:ascii="Times New Roman" w:hAnsi="Times New Roman" w:cs="Times New Roman"/>
                      <w:sz w:val="21"/>
                      <w:szCs w:val="21"/>
                      <w:highlight w:val="none"/>
                      <w:lang w:val="en-US" w:eastAsia="zh-CN"/>
                    </w:rPr>
                    <w:t>209</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，存放</w:t>
                  </w:r>
                  <w:r>
                    <w:rPr>
                      <w:rFonts w:hint="default" w:ascii="Times New Roman" w:hAnsi="Times New Roman" w:cs="Times New Roman"/>
                      <w:sz w:val="21"/>
                      <w:szCs w:val="21"/>
                      <w:highlight w:val="none"/>
                      <w:lang w:val="en-US" w:eastAsia="zh-CN"/>
                    </w:rPr>
                    <w:t>成品</w:t>
                  </w:r>
                  <w:r>
                    <w:rPr>
                      <w:rFonts w:hint="default" w:ascii="Times New Roman" w:hAnsi="Times New Roman" w:eastAsia="宋体" w:cs="Times New Roman"/>
                      <w:sz w:val="21"/>
                      <w:szCs w:val="21"/>
                      <w:lang w:val="en-US" w:eastAsia="zh-CN"/>
                    </w:rPr>
                    <w:t>。成品叠层堆放，及时出货。</w:t>
                  </w:r>
                </w:p>
              </w:tc>
              <w:tc>
                <w:tcPr>
                  <w:tcW w:w="1187" w:type="dxa"/>
                  <w:tcBorders>
                    <w:top w:val="single" w:color="000000"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依托现有建筑</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综合</w:t>
                  </w:r>
                  <w:r>
                    <w:rPr>
                      <w:rFonts w:hint="default" w:ascii="Times New Roman" w:hAnsi="Times New Roman" w:eastAsia="宋体" w:cs="Times New Roman"/>
                      <w:sz w:val="21"/>
                      <w:szCs w:val="21"/>
                      <w:lang w:val="en-US" w:eastAsia="zh-CN"/>
                    </w:rPr>
                    <w:t>办公室</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建筑面积</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位于厂区入口旁，</w:t>
                  </w:r>
                  <w:r>
                    <w:rPr>
                      <w:rFonts w:hint="default" w:ascii="Times New Roman" w:hAnsi="Times New Roman" w:cs="Times New Roman"/>
                      <w:sz w:val="21"/>
                      <w:szCs w:val="21"/>
                      <w:lang w:val="en-US" w:eastAsia="zh-CN"/>
                    </w:rPr>
                    <w:t>用于员工休息及办公</w:t>
                  </w:r>
                  <w:r>
                    <w:rPr>
                      <w:rFonts w:hint="default" w:ascii="Times New Roman" w:hAnsi="Times New Roman" w:eastAsia="宋体" w:cs="Times New Roman"/>
                      <w:sz w:val="21"/>
                      <w:szCs w:val="21"/>
                      <w:lang w:val="en-US" w:eastAsia="zh-CN"/>
                    </w:rPr>
                    <w:t>。</w:t>
                  </w:r>
                </w:p>
              </w:tc>
              <w:tc>
                <w:tcPr>
                  <w:tcW w:w="1187" w:type="dxa"/>
                  <w:tcBorders>
                    <w:top w:val="single" w:color="000000"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依托现有建筑</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restart"/>
                  <w:tcBorders>
                    <w:top w:val="single" w:color="000000" w:sz="4" w:space="0"/>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供水工程</w:t>
                  </w:r>
                </w:p>
              </w:tc>
              <w:tc>
                <w:tcPr>
                  <w:tcW w:w="5134" w:type="dxa"/>
                  <w:tcBorders>
                    <w:top w:val="single" w:color="000000" w:sz="4" w:space="0"/>
                    <w:left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由供水管网提供</w:t>
                  </w:r>
                  <w:r>
                    <w:rPr>
                      <w:rFonts w:hint="default" w:ascii="Times New Roman" w:hAnsi="Times New Roman" w:eastAsia="宋体" w:cs="Times New Roman"/>
                      <w:sz w:val="21"/>
                      <w:szCs w:val="21"/>
                      <w:lang w:val="en-US" w:eastAsia="zh-CN"/>
                    </w:rPr>
                    <w:t>。</w:t>
                  </w:r>
                </w:p>
              </w:tc>
              <w:tc>
                <w:tcPr>
                  <w:tcW w:w="1187" w:type="dxa"/>
                  <w:tcBorders>
                    <w:top w:val="single" w:color="auto"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依托</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排水工程</w:t>
                  </w:r>
                </w:p>
              </w:tc>
              <w:tc>
                <w:tcPr>
                  <w:tcW w:w="5134" w:type="dxa"/>
                  <w:tcBorders>
                    <w:top w:val="single" w:color="000000" w:sz="4" w:space="0"/>
                    <w:left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r>
                    <w:rPr>
                      <w:rFonts w:hint="default" w:ascii="Times New Roman" w:hAnsi="Times New Roman" w:eastAsia="宋体" w:cs="Times New Roman"/>
                      <w:sz w:val="21"/>
                      <w:szCs w:val="21"/>
                      <w:lang w:val="en-US" w:eastAsia="zh-CN"/>
                    </w:rPr>
                    <w:t>排入</w:t>
                  </w:r>
                  <w:r>
                    <w:rPr>
                      <w:rFonts w:hint="default" w:ascii="Times New Roman" w:hAnsi="Times New Roman" w:eastAsia="宋体" w:cs="Times New Roman"/>
                      <w:sz w:val="21"/>
                      <w:szCs w:val="21"/>
                    </w:rPr>
                    <w:t>防渗旱厕，定期清掏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用于施肥</w:t>
                  </w:r>
                  <w:r>
                    <w:rPr>
                      <w:rFonts w:hint="default" w:ascii="Times New Roman" w:hAnsi="Times New Roman" w:eastAsia="宋体" w:cs="Times New Roman"/>
                      <w:sz w:val="21"/>
                      <w:szCs w:val="21"/>
                    </w:rPr>
                    <w:t>。</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依托原有</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生产用水在循环水</w:t>
                  </w:r>
                  <w:r>
                    <w:rPr>
                      <w:rFonts w:hint="default" w:ascii="Times New Roman" w:hAnsi="Times New Roman" w:cs="Times New Roman"/>
                      <w:sz w:val="21"/>
                      <w:szCs w:val="21"/>
                      <w:lang w:val="en-US" w:eastAsia="zh-CN"/>
                    </w:rPr>
                    <w:t>池</w:t>
                  </w:r>
                  <w:r>
                    <w:rPr>
                      <w:rFonts w:hint="default" w:ascii="Times New Roman" w:hAnsi="Times New Roman" w:eastAsia="宋体" w:cs="Times New Roman"/>
                      <w:sz w:val="21"/>
                      <w:szCs w:val="21"/>
                      <w:lang w:val="en-US" w:eastAsia="zh-CN"/>
                    </w:rPr>
                    <w:t>内循环利用，定期补给，不</w:t>
                  </w:r>
                  <w:r>
                    <w:rPr>
                      <w:rFonts w:hint="default" w:ascii="Times New Roman" w:hAnsi="Times New Roman" w:eastAsia="宋体" w:cs="Times New Roman"/>
                      <w:sz w:val="21"/>
                      <w:szCs w:val="21"/>
                    </w:rPr>
                    <w:t>外排。</w:t>
                  </w:r>
                  <w:r>
                    <w:rPr>
                      <w:rFonts w:hint="default" w:ascii="Times New Roman" w:hAnsi="Times New Roman" w:eastAsia="宋体" w:cs="Times New Roman"/>
                      <w:sz w:val="21"/>
                      <w:szCs w:val="21"/>
                      <w:lang w:val="en-US" w:eastAsia="zh-CN"/>
                    </w:rPr>
                    <w:t>据项目单位提供的资料，循环水</w:t>
                  </w:r>
                  <w:r>
                    <w:rPr>
                      <w:rFonts w:hint="default" w:ascii="Times New Roman" w:hAnsi="Times New Roman" w:cs="Times New Roman"/>
                      <w:sz w:val="21"/>
                      <w:szCs w:val="21"/>
                      <w:lang w:val="en-US" w:eastAsia="zh-CN"/>
                    </w:rPr>
                    <w:t>池</w:t>
                  </w:r>
                  <w:r>
                    <w:rPr>
                      <w:rFonts w:hint="default" w:ascii="Times New Roman" w:hAnsi="Times New Roman" w:eastAsia="宋体" w:cs="Times New Roman"/>
                      <w:sz w:val="21"/>
                      <w:szCs w:val="21"/>
                      <w:lang w:val="en-US" w:eastAsia="zh-CN"/>
                    </w:rPr>
                    <w:t>容积为</w:t>
                  </w:r>
                  <w:r>
                    <w:rPr>
                      <w:rFonts w:hint="default" w:ascii="Times New Roman" w:hAnsi="Times New Roman" w:cs="Times New Roman"/>
                      <w:sz w:val="21"/>
                      <w:szCs w:val="21"/>
                      <w:lang w:val="en-US" w:eastAsia="zh-CN"/>
                    </w:rPr>
                    <w:t>3.6</w:t>
                  </w:r>
                  <w:r>
                    <w:rPr>
                      <w:rFonts w:hint="default" w:ascii="Times New Roman" w:hAnsi="Times New Roman" w:eastAsia="宋体" w:cs="Times New Roman"/>
                      <w:sz w:val="21"/>
                      <w:szCs w:val="21"/>
                      <w:lang w:val="en-US" w:eastAsia="zh-CN"/>
                    </w:rPr>
                    <w:t>t，</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t/次，每7天补给一次。</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供电工程</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基础供电设施。</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依托</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供热工程</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本项目生产设备主要用电。办公室冬季用电取暖。</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restart"/>
                  <w:tcBorders>
                    <w:top w:val="single" w:color="000000" w:sz="4" w:space="0"/>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措施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p>
              </w:tc>
              <w:tc>
                <w:tcPr>
                  <w:tcW w:w="1290"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Cs w:val="21"/>
                    </w:rPr>
                    <w:t>废气处理</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Cs w:val="21"/>
                      <w:lang w:eastAsia="zh-CN"/>
                    </w:rPr>
                    <w:t>在每台注塑机</w:t>
                  </w:r>
                  <w:r>
                    <w:rPr>
                      <w:rFonts w:hint="default" w:ascii="Times New Roman" w:hAnsi="Times New Roman" w:eastAsia="宋体" w:cs="Times New Roman"/>
                      <w:color w:val="000000" w:themeColor="text1"/>
                      <w:szCs w:val="21"/>
                      <w:lang w:eastAsia="zh-CN"/>
                      <w14:textFill>
                        <w14:solidFill>
                          <w14:schemeClr w14:val="tx1"/>
                        </w14:solidFill>
                      </w14:textFill>
                    </w:rPr>
                    <w:t>机头上方分别设置集气罩（单台注塑机集气罩面积为1m</w:t>
                  </w:r>
                  <w:r>
                    <w:rPr>
                      <w:rFonts w:hint="default" w:ascii="Times New Roman" w:hAnsi="Times New Roman" w:eastAsia="宋体" w:cs="Times New Roman"/>
                      <w:color w:val="000000" w:themeColor="text1"/>
                      <w:szCs w:val="21"/>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，集气罩设置位置为挤出机机头上方，集气罩距离挤出机高度0.5m，过滤风速0.5m/s，每个挤出机机头集气罩处设施风阀，</w:t>
                  </w:r>
                  <w:r>
                    <w:rPr>
                      <w:rFonts w:hint="default" w:ascii="Times New Roman" w:hAnsi="Times New Roman" w:eastAsia="宋体" w:cs="Times New Roman"/>
                      <w:color w:val="000000" w:themeColor="text1"/>
                      <w:szCs w:val="21"/>
                      <w:lang w:val="en-US" w:eastAsia="zh-CN"/>
                      <w14:textFill>
                        <w14:solidFill>
                          <w14:schemeClr w14:val="tx1"/>
                        </w14:solidFill>
                      </w14:textFill>
                    </w:rPr>
                    <w:t>集气效率为</w:t>
                  </w: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eastAsia="zh-CN"/>
                      <w14:textFill>
                        <w14:solidFill>
                          <w14:schemeClr w14:val="tx1"/>
                        </w14:solidFill>
                      </w14:textFill>
                    </w:rPr>
                    <w:t>），将废气负压集气后引至活性炭吸附装置吸附</w:t>
                  </w:r>
                  <w:r>
                    <w:rPr>
                      <w:rFonts w:hint="default" w:ascii="Times New Roman" w:hAnsi="Times New Roman" w:eastAsia="宋体" w:cs="Times New Roman"/>
                      <w:color w:val="000000" w:themeColor="text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Cs w:val="21"/>
                      <w:lang w:eastAsia="zh-CN"/>
                      <w14:textFill>
                        <w14:solidFill>
                          <w14:schemeClr w14:val="tx1"/>
                        </w14:solidFill>
                      </w14:textFill>
                    </w:rPr>
                    <w:t>后，通过15m高排气筒排放。</w:t>
                  </w:r>
                </w:p>
              </w:tc>
              <w:tc>
                <w:tcPr>
                  <w:tcW w:w="1187" w:type="dxa"/>
                  <w:tcBorders>
                    <w:top w:val="single" w:color="auto" w:sz="4" w:space="0"/>
                    <w:left w:val="single" w:color="000000" w:sz="4" w:space="0"/>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vMerge w:val="continue"/>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1"/>
                      <w:szCs w:val="21"/>
                      <w:lang w:val="en-US" w:eastAsia="zh-CN"/>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szCs w:val="21"/>
                      <w:lang w:val="en-US" w:eastAsia="zh-CN"/>
                    </w:rPr>
                    <w:t>本项目产生的</w:t>
                  </w:r>
                  <w:r>
                    <w:rPr>
                      <w:rFonts w:hint="default" w:ascii="Times New Roman" w:hAnsi="Times New Roman" w:eastAsia="宋体" w:cs="Times New Roman"/>
                      <w:color w:val="000000" w:themeColor="text1"/>
                      <w:szCs w:val="21"/>
                      <w:lang w:val="en-US" w:eastAsia="zh-CN"/>
                      <w14:textFill>
                        <w14:solidFill>
                          <w14:schemeClr w14:val="tx1"/>
                        </w14:solidFill>
                      </w14:textFill>
                    </w:rPr>
                    <w:t>残次品破碎后可重新回用于生产中。破碎会产生少量粉尘。破碎过程中</w:t>
                  </w:r>
                  <w:bookmarkStart w:id="3" w:name="OLE_LINK1"/>
                  <w:r>
                    <w:rPr>
                      <w:rFonts w:hint="default" w:ascii="Times New Roman" w:hAnsi="Times New Roman" w:eastAsia="宋体" w:cs="Times New Roman"/>
                      <w:color w:val="000000" w:themeColor="text1"/>
                      <w:szCs w:val="21"/>
                      <w:lang w:val="en-US" w:eastAsia="zh-CN"/>
                      <w14:textFill>
                        <w14:solidFill>
                          <w14:schemeClr w14:val="tx1"/>
                        </w14:solidFill>
                      </w14:textFill>
                    </w:rPr>
                    <w:t>采用车间封闭，洒水降尘措施，逸散出门窗的颗粒物无组织排放。</w:t>
                  </w:r>
                  <w:bookmarkEnd w:id="3"/>
                </w:p>
              </w:tc>
              <w:tc>
                <w:tcPr>
                  <w:tcW w:w="1187" w:type="dxa"/>
                  <w:tcBorders>
                    <w:top w:val="single" w:color="auto" w:sz="4" w:space="0"/>
                    <w:left w:val="single" w:color="000000" w:sz="4" w:space="0"/>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vMerge w:val="continue"/>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本项目使用原料为成品非再生塑料颗粒，新购入的塑料原料塑料编织袋包装，利用密闭的投料机进行投料。因此，投料工序产生颗粒物极少，采用车间封闭，洒水降尘措施，逸散出门窗的颗粒物无组织排放。</w:t>
                  </w:r>
                </w:p>
              </w:tc>
              <w:tc>
                <w:tcPr>
                  <w:tcW w:w="1187" w:type="dxa"/>
                  <w:tcBorders>
                    <w:top w:val="single" w:color="auto" w:sz="4" w:space="0"/>
                    <w:left w:val="single" w:color="000000" w:sz="4" w:space="0"/>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1290" w:type="dxa"/>
                  <w:vMerge w:val="continue"/>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车间地面</w:t>
                  </w:r>
                  <w:r>
                    <w:rPr>
                      <w:rFonts w:hint="default" w:ascii="Times New Roman" w:hAnsi="Times New Roman" w:eastAsia="宋体" w:cs="Times New Roman"/>
                      <w:color w:val="000000" w:themeColor="text1"/>
                      <w:szCs w:val="21"/>
                      <w14:textFill>
                        <w14:solidFill>
                          <w14:schemeClr w14:val="tx1"/>
                        </w14:solidFill>
                      </w14:textFill>
                    </w:rPr>
                    <w:t>定期进行清扫洒水，防止地面产生扬尘</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187" w:type="dxa"/>
                  <w:tcBorders>
                    <w:top w:val="single" w:color="auto" w:sz="4" w:space="0"/>
                    <w:left w:val="single" w:color="000000" w:sz="4" w:space="0"/>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1391"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restart"/>
                  <w:tcBorders>
                    <w:top w:val="single" w:color="000000" w:sz="4" w:space="0"/>
                    <w:left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治理</w:t>
                  </w:r>
                </w:p>
              </w:tc>
              <w:tc>
                <w:tcPr>
                  <w:tcW w:w="5134"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本项目生产用水在循环</w:t>
                  </w:r>
                  <w:r>
                    <w:rPr>
                      <w:rFonts w:hint="default" w:ascii="Times New Roman" w:hAnsi="Times New Roman" w:cs="Times New Roman"/>
                      <w:sz w:val="21"/>
                      <w:szCs w:val="21"/>
                      <w:lang w:val="en-US" w:eastAsia="zh-CN"/>
                    </w:rPr>
                    <w:t>水池</w:t>
                  </w:r>
                  <w:r>
                    <w:rPr>
                      <w:rFonts w:hint="default" w:ascii="Times New Roman" w:hAnsi="Times New Roman" w:eastAsia="宋体" w:cs="Times New Roman"/>
                      <w:sz w:val="21"/>
                      <w:szCs w:val="21"/>
                      <w:lang w:val="en-US" w:eastAsia="zh-CN"/>
                    </w:rPr>
                    <w:t>内循环利用，定期补给，不外排</w:t>
                  </w:r>
                  <w:r>
                    <w:rPr>
                      <w:rFonts w:hint="default" w:ascii="Times New Roman" w:hAnsi="Times New Roman" w:eastAsia="宋体" w:cs="Times New Roman"/>
                      <w:color w:val="auto"/>
                      <w:sz w:val="21"/>
                      <w:szCs w:val="21"/>
                      <w:lang w:val="en-US" w:eastAsia="zh-CN"/>
                    </w:rPr>
                    <w:t>。循环水</w:t>
                  </w:r>
                  <w:r>
                    <w:rPr>
                      <w:rFonts w:hint="default" w:ascii="Times New Roman" w:hAnsi="Times New Roman" w:cs="Times New Roman"/>
                      <w:color w:val="auto"/>
                      <w:sz w:val="21"/>
                      <w:szCs w:val="21"/>
                      <w:lang w:val="en-US" w:eastAsia="zh-CN"/>
                    </w:rPr>
                    <w:t>池内</w:t>
                  </w:r>
                  <w:r>
                    <w:rPr>
                      <w:rFonts w:hint="default" w:ascii="Times New Roman" w:hAnsi="Times New Roman" w:eastAsia="宋体" w:cs="Times New Roman"/>
                      <w:color w:val="auto"/>
                      <w:sz w:val="21"/>
                      <w:szCs w:val="21"/>
                      <w:lang w:val="en-US" w:eastAsia="zh-CN"/>
                    </w:rPr>
                    <w:t>不使用药剂，每年</w:t>
                  </w:r>
                  <w:r>
                    <w:rPr>
                      <w:rFonts w:hint="default" w:ascii="Times New Roman" w:hAnsi="Times New Roman" w:cs="Times New Roman"/>
                      <w:color w:val="auto"/>
                      <w:sz w:val="21"/>
                      <w:szCs w:val="21"/>
                      <w:lang w:val="en-US" w:eastAsia="zh-CN"/>
                    </w:rPr>
                    <w:t>生产结束后</w:t>
                  </w:r>
                  <w:r>
                    <w:rPr>
                      <w:rFonts w:hint="default" w:ascii="Times New Roman" w:hAnsi="Times New Roman" w:eastAsia="宋体" w:cs="Times New Roman"/>
                      <w:color w:val="auto"/>
                      <w:sz w:val="21"/>
                      <w:szCs w:val="21"/>
                      <w:lang w:val="en-US" w:eastAsia="zh-CN"/>
                    </w:rPr>
                    <w:t>清理一次。循</w:t>
                  </w:r>
                  <w:r>
                    <w:rPr>
                      <w:rFonts w:hint="default" w:ascii="Times New Roman" w:hAnsi="Times New Roman" w:cs="Times New Roman"/>
                      <w:color w:val="auto"/>
                      <w:sz w:val="21"/>
                      <w:szCs w:val="21"/>
                      <w:lang w:val="en-US" w:eastAsia="zh-CN"/>
                    </w:rPr>
                    <w:t>水池</w:t>
                  </w:r>
                  <w:r>
                    <w:rPr>
                      <w:rFonts w:hint="default" w:ascii="Times New Roman" w:hAnsi="Times New Roman" w:eastAsia="宋体" w:cs="Times New Roman"/>
                      <w:color w:val="auto"/>
                      <w:sz w:val="21"/>
                      <w:szCs w:val="21"/>
                      <w:lang w:val="en-US" w:eastAsia="zh-CN"/>
                    </w:rPr>
                    <w:t>内废水为清净水，</w:t>
                  </w:r>
                  <w:r>
                    <w:rPr>
                      <w:rFonts w:hint="default" w:ascii="Times New Roman" w:hAnsi="Times New Roman" w:cs="Times New Roman"/>
                      <w:color w:val="auto"/>
                      <w:sz w:val="21"/>
                      <w:szCs w:val="21"/>
                      <w:lang w:val="en-US" w:eastAsia="zh-CN"/>
                    </w:rPr>
                    <w:t>停产后</w:t>
                  </w:r>
                  <w:r>
                    <w:rPr>
                      <w:rFonts w:hint="default" w:ascii="Times New Roman" w:hAnsi="Times New Roman" w:eastAsia="宋体" w:cs="Times New Roman"/>
                      <w:color w:val="auto"/>
                      <w:sz w:val="21"/>
                      <w:szCs w:val="21"/>
                      <w:lang w:val="en-US" w:eastAsia="zh-CN"/>
                    </w:rPr>
                    <w:t>剩余的废水可用容器盛装，</w:t>
                  </w:r>
                  <w:r>
                    <w:rPr>
                      <w:rFonts w:hint="default" w:ascii="Times New Roman" w:hAnsi="Times New Roman" w:cs="Times New Roman"/>
                      <w:color w:val="auto"/>
                      <w:sz w:val="21"/>
                      <w:szCs w:val="21"/>
                      <w:lang w:val="en-US" w:eastAsia="zh-CN"/>
                    </w:rPr>
                    <w:t>用于厂区大清扫后洒水降尘。</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continue"/>
                  <w:tcBorders>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5134" w:type="dxa"/>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生活污水排入防渗旱厕，定期清掏，用于施肥。</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依托原有</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w:t>
                  </w:r>
                  <w:r>
                    <w:rPr>
                      <w:rFonts w:hint="default" w:ascii="Times New Roman" w:hAnsi="Times New Roman" w:eastAsia="宋体" w:cs="Times New Roman"/>
                      <w:sz w:val="21"/>
                      <w:szCs w:val="21"/>
                      <w:lang w:val="en-US" w:eastAsia="zh-CN"/>
                    </w:rPr>
                    <w:t>治理</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w:t>
                  </w:r>
                  <w:r>
                    <w:rPr>
                      <w:rFonts w:hint="default" w:ascii="Times New Roman" w:hAnsi="Times New Roman" w:eastAsia="宋体" w:cs="Times New Roman"/>
                      <w:sz w:val="21"/>
                      <w:szCs w:val="21"/>
                      <w:lang w:val="en-US" w:eastAsia="zh-CN"/>
                    </w:rPr>
                    <w:t>门窗墙体隔声</w:t>
                  </w:r>
                  <w:r>
                    <w:rPr>
                      <w:rFonts w:hint="default" w:ascii="Times New Roman" w:hAnsi="Times New Roman" w:eastAsia="宋体" w:cs="Times New Roman"/>
                      <w:sz w:val="21"/>
                      <w:szCs w:val="21"/>
                    </w:rPr>
                    <w:t>等降噪措施。</w:t>
                  </w:r>
                </w:p>
              </w:tc>
              <w:tc>
                <w:tcPr>
                  <w:tcW w:w="1187" w:type="dxa"/>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生活垃圾</w:t>
                  </w:r>
                  <w:r>
                    <w:rPr>
                      <w:rFonts w:hint="default" w:ascii="Times New Roman" w:hAnsi="Times New Roman" w:eastAsia="宋体" w:cs="Times New Roman"/>
                      <w:sz w:val="21"/>
                      <w:szCs w:val="21"/>
                      <w:lang w:val="en-US" w:eastAsia="zh-CN"/>
                    </w:rPr>
                    <w:t>收集后</w:t>
                  </w:r>
                  <w:r>
                    <w:rPr>
                      <w:rFonts w:hint="default" w:ascii="Times New Roman" w:hAnsi="Times New Roman" w:eastAsia="宋体" w:cs="Times New Roman"/>
                      <w:sz w:val="21"/>
                      <w:szCs w:val="21"/>
                    </w:rPr>
                    <w:t>由环卫部门清运</w:t>
                  </w:r>
                  <w:r>
                    <w:rPr>
                      <w:rFonts w:hint="default" w:ascii="Times New Roman" w:hAnsi="Times New Roman" w:eastAsia="宋体" w:cs="Times New Roman"/>
                      <w:sz w:val="21"/>
                      <w:szCs w:val="21"/>
                      <w:lang w:eastAsia="zh-CN"/>
                    </w:rPr>
                    <w:t>。</w:t>
                  </w:r>
                </w:p>
              </w:tc>
              <w:tc>
                <w:tcPr>
                  <w:tcW w:w="1187" w:type="dxa"/>
                  <w:vMerge w:val="restart"/>
                  <w:tcBorders>
                    <w:top w:val="single" w:color="auto" w:sz="4" w:space="0"/>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废活性炭</w:t>
                  </w:r>
                  <w:r>
                    <w:rPr>
                      <w:rFonts w:hint="default" w:ascii="Times New Roman" w:hAnsi="Times New Roman" w:eastAsia="宋体" w:cs="Times New Roman"/>
                      <w:sz w:val="21"/>
                      <w:szCs w:val="21"/>
                      <w:lang w:val="en-US" w:eastAsia="zh-CN"/>
                    </w:rPr>
                    <w:t>收集后暂存在危废间，交由有资质的单位处理。</w:t>
                  </w:r>
                </w:p>
              </w:tc>
              <w:tc>
                <w:tcPr>
                  <w:tcW w:w="1187" w:type="dxa"/>
                  <w:vMerge w:val="continue"/>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不合格产及边角料品破碎后重新回用于生产，不外排</w:t>
                  </w:r>
                </w:p>
              </w:tc>
              <w:tc>
                <w:tcPr>
                  <w:tcW w:w="1187" w:type="dxa"/>
                  <w:vMerge w:val="continue"/>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129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eastAsia="zh-CN"/>
                    </w:rPr>
                    <w:t>包装物收集后</w:t>
                  </w:r>
                  <w:r>
                    <w:rPr>
                      <w:rFonts w:hint="default" w:ascii="Times New Roman" w:hAnsi="Times New Roman" w:eastAsia="宋体" w:cs="Times New Roman"/>
                      <w:sz w:val="21"/>
                      <w:szCs w:val="21"/>
                      <w:lang w:val="en-US" w:eastAsia="zh-CN"/>
                    </w:rPr>
                    <w:t>外售给废品回收站。</w:t>
                  </w:r>
                </w:p>
              </w:tc>
              <w:tc>
                <w:tcPr>
                  <w:tcW w:w="1187" w:type="dxa"/>
                  <w:vMerge w:val="continue"/>
                  <w:tcBorders>
                    <w:top w:val="single" w:color="auto" w:sz="4" w:space="0"/>
                    <w:left w:val="single" w:color="000000"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sz w:val="21"/>
                      <w:szCs w:val="21"/>
                    </w:rPr>
                  </w:pP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90" w:type="dxa"/>
                  <w:vMerge w:val="restart"/>
                  <w:tcBorders>
                    <w:left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防渗处理</w:t>
                  </w: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厂区地面做一般水泥硬化防渗处理，</w:t>
                  </w:r>
                  <w:r>
                    <w:rPr>
                      <w:rFonts w:hint="default" w:ascii="Times New Roman" w:hAnsi="Times New Roman" w:eastAsia="宋体" w:cs="Times New Roman"/>
                      <w:sz w:val="21"/>
                      <w:szCs w:val="21"/>
                      <w:lang w:eastAsia="zh-CN"/>
                    </w:rPr>
                    <w:t>防渗系数不低于</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eastAsia="zh-CN"/>
                    </w:rPr>
                    <w:t>10</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vertAlign w:val="superscript"/>
                      <w:lang w:val="en-US" w:eastAsia="zh-CN"/>
                    </w:rPr>
                    <w:t>7</w:t>
                  </w:r>
                  <w:r>
                    <w:rPr>
                      <w:rFonts w:hint="default" w:ascii="Times New Roman" w:hAnsi="Times New Roman" w:eastAsia="宋体" w:cs="Times New Roman"/>
                      <w:sz w:val="21"/>
                      <w:szCs w:val="21"/>
                      <w:lang w:eastAsia="zh-CN"/>
                    </w:rPr>
                    <w:t>cm/s</w:t>
                  </w:r>
                  <w:r>
                    <w:rPr>
                      <w:rFonts w:hint="default" w:ascii="Times New Roman" w:hAnsi="Times New Roman" w:eastAsia="宋体" w:cs="Times New Roman"/>
                      <w:sz w:val="21"/>
                      <w:szCs w:val="21"/>
                      <w:lang w:val="en-US" w:eastAsia="zh-CN"/>
                    </w:rPr>
                    <w:t>。</w:t>
                  </w:r>
                </w:p>
              </w:tc>
              <w:tc>
                <w:tcPr>
                  <w:tcW w:w="1187" w:type="dxa"/>
                  <w:tcBorders>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sz w:val="21"/>
                      <w:szCs w:val="21"/>
                      <w:highlight w:val="none"/>
                      <w:lang w:val="en-US" w:eastAsia="zh-CN"/>
                    </w:rPr>
                    <w:t>新建</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784" w:type="dxa"/>
                  <w:vMerge w:val="continue"/>
                  <w:tcBorders>
                    <w:left w:val="nil"/>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90" w:type="dxa"/>
                  <w:vMerge w:val="continue"/>
                  <w:tcBorders>
                    <w:left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p>
              </w:tc>
              <w:tc>
                <w:tcPr>
                  <w:tcW w:w="51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危废间防渗应按照</w:t>
                  </w:r>
                  <w:r>
                    <w:rPr>
                      <w:rFonts w:hint="default" w:ascii="Times New Roman" w:hAnsi="Times New Roman" w:cs="Times New Roman"/>
                      <w:color w:val="auto"/>
                      <w:szCs w:val="21"/>
                    </w:rPr>
                    <w:t>按照《危险废物贮存污染控制标准》(GB18597-2001)要求分区做好防渗处理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防渗系数应不低于</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eastAsia="zh-CN"/>
                    </w:rPr>
                    <w:t>10</w:t>
                  </w:r>
                  <w:r>
                    <w:rPr>
                      <w:rFonts w:hint="default" w:ascii="Times New Roman" w:hAnsi="Times New Roman" w:eastAsia="宋体" w:cs="Times New Roman"/>
                      <w:color w:val="auto"/>
                      <w:sz w:val="21"/>
                      <w:szCs w:val="21"/>
                      <w:vertAlign w:val="superscript"/>
                      <w:lang w:eastAsia="zh-CN"/>
                    </w:rPr>
                    <w:t>-</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eastAsia="zh-CN"/>
                    </w:rPr>
                    <w:t>cm/s</w:t>
                  </w:r>
                  <w:r>
                    <w:rPr>
                      <w:rFonts w:hint="default" w:ascii="Times New Roman" w:hAnsi="Times New Roman" w:eastAsia="宋体" w:cs="Times New Roman"/>
                      <w:color w:val="auto"/>
                      <w:sz w:val="21"/>
                      <w:szCs w:val="21"/>
                      <w:lang w:val="en-US" w:eastAsia="zh-CN"/>
                    </w:rPr>
                    <w:t>。</w:t>
                  </w:r>
                </w:p>
              </w:tc>
              <w:tc>
                <w:tcPr>
                  <w:tcW w:w="1187" w:type="dxa"/>
                  <w:tcBorders>
                    <w:left w:val="single" w:color="000000" w:sz="4" w:space="0"/>
                    <w:right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3、主要生产设备及原辅材料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val="0"/>
                <w:sz w:val="24"/>
                <w:szCs w:val="24"/>
                <w:lang w:val="en-US"/>
              </w:rPr>
            </w:pPr>
            <w:r>
              <w:rPr>
                <w:rFonts w:hint="eastAsia" w:ascii="宋体" w:hAnsi="宋体" w:eastAsia="宋体" w:cs="宋体"/>
                <w:b/>
                <w:bCs/>
                <w:sz w:val="24"/>
                <w:szCs w:val="24"/>
              </w:rPr>
              <w:t>表2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 xml:space="preserve"> 本项目生产设备一览表</w:t>
            </w:r>
          </w:p>
          <w:tbl>
            <w:tblPr>
              <w:tblStyle w:val="22"/>
              <w:tblW w:w="8392"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1013"/>
              <w:gridCol w:w="2276"/>
              <w:gridCol w:w="1495"/>
              <w:gridCol w:w="1804"/>
              <w:gridCol w:w="180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12"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rPr>
                  </w:pPr>
                  <w:r>
                    <w:rPr>
                      <w:rFonts w:hint="eastAsia" w:ascii="宋体" w:hAnsi="宋体" w:eastAsia="宋体" w:cs="宋体"/>
                      <w:sz w:val="20"/>
                      <w:szCs w:val="20"/>
                    </w:rPr>
                    <w:t>序号</w:t>
                  </w:r>
                </w:p>
              </w:tc>
              <w:tc>
                <w:tcPr>
                  <w:tcW w:w="2276"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rPr>
                  </w:pPr>
                  <w:r>
                    <w:rPr>
                      <w:rFonts w:hint="eastAsia" w:ascii="宋体" w:hAnsi="宋体" w:eastAsia="宋体" w:cs="宋体"/>
                      <w:sz w:val="20"/>
                      <w:szCs w:val="20"/>
                    </w:rPr>
                    <w:t>设备名称</w:t>
                  </w:r>
                </w:p>
              </w:tc>
              <w:tc>
                <w:tcPr>
                  <w:tcW w:w="1495"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rPr>
                    <w:t>数量</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台</w:t>
                  </w:r>
                  <w:r>
                    <w:rPr>
                      <w:rFonts w:hint="eastAsia" w:ascii="宋体" w:hAnsi="宋体" w:eastAsia="宋体" w:cs="宋体"/>
                      <w:sz w:val="20"/>
                      <w:szCs w:val="20"/>
                      <w:lang w:eastAsia="zh-CN"/>
                    </w:rPr>
                    <w:t>）</w:t>
                  </w:r>
                </w:p>
              </w:tc>
              <w:tc>
                <w:tcPr>
                  <w:tcW w:w="1804"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生产能力</w:t>
                  </w:r>
                </w:p>
              </w:tc>
              <w:tc>
                <w:tcPr>
                  <w:tcW w:w="1804" w:type="dxa"/>
                  <w:tcBorders>
                    <w:top w:val="single" w:color="auto" w:sz="12"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规格</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vMerge w:val="restart"/>
                  <w:tcBorders>
                    <w:top w:val="single" w:color="auto" w:sz="4" w:space="0"/>
                    <w:left w:val="nil"/>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rPr>
                  </w:pPr>
                  <w:r>
                    <w:rPr>
                      <w:rFonts w:hint="eastAsia" w:ascii="宋体" w:hAnsi="宋体" w:eastAsia="宋体" w:cs="宋体"/>
                      <w:sz w:val="20"/>
                      <w:szCs w:val="20"/>
                    </w:rPr>
                    <w:t>1</w:t>
                  </w:r>
                </w:p>
              </w:tc>
              <w:tc>
                <w:tcPr>
                  <w:tcW w:w="2276" w:type="dxa"/>
                  <w:vMerge w:val="restart"/>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注塑机</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海泰</w:t>
                  </w:r>
                  <w:r>
                    <w:rPr>
                      <w:rFonts w:hint="default" w:ascii="宋体" w:hAnsi="宋体" w:eastAsia="宋体" w:cs="宋体"/>
                      <w:sz w:val="20"/>
                      <w:szCs w:val="20"/>
                      <w:lang w:val="en-US" w:eastAsia="zh-CN"/>
                    </w:rPr>
                    <w:t>注塑机600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vMerge w:val="continue"/>
                  <w:tcBorders>
                    <w:left w:val="nil"/>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rPr>
                  </w:pPr>
                </w:p>
              </w:tc>
              <w:tc>
                <w:tcPr>
                  <w:tcW w:w="2276" w:type="dxa"/>
                  <w:vMerge w:val="continue"/>
                  <w:tcBorders>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eastAsia="zh-CN"/>
                    </w:rPr>
                  </w:pP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2</w:t>
                  </w: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lang w:val="en-US" w:eastAsia="zh-CN"/>
                    </w:rPr>
                  </w:pP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海泰</w:t>
                  </w:r>
                  <w:r>
                    <w:rPr>
                      <w:rFonts w:hint="default" w:ascii="宋体" w:hAnsi="宋体" w:eastAsia="宋体" w:cs="宋体"/>
                      <w:sz w:val="20"/>
                      <w:szCs w:val="20"/>
                      <w:lang w:val="en-US" w:eastAsia="zh-CN"/>
                    </w:rPr>
                    <w:t>注塑机</w:t>
                  </w:r>
                  <w:r>
                    <w:rPr>
                      <w:rFonts w:hint="eastAsia" w:ascii="宋体" w:hAnsi="宋体" w:cs="宋体"/>
                      <w:sz w:val="20"/>
                      <w:szCs w:val="20"/>
                      <w:lang w:val="en-US" w:eastAsia="zh-CN"/>
                    </w:rPr>
                    <w:t>38</w:t>
                  </w:r>
                  <w:r>
                    <w:rPr>
                      <w:rFonts w:hint="default" w:ascii="宋体" w:hAnsi="宋体" w:eastAsia="宋体" w:cs="宋体"/>
                      <w:sz w:val="20"/>
                      <w:szCs w:val="20"/>
                      <w:lang w:val="en-US" w:eastAsia="zh-CN"/>
                    </w:rPr>
                    <w:t>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vMerge w:val="continue"/>
                  <w:tcBorders>
                    <w:left w:val="nil"/>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rPr>
                  </w:pPr>
                </w:p>
              </w:tc>
              <w:tc>
                <w:tcPr>
                  <w:tcW w:w="2276" w:type="dxa"/>
                  <w:vMerge w:val="continue"/>
                  <w:tcBorders>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eastAsia="zh-CN"/>
                    </w:rPr>
                  </w:pP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2</w:t>
                  </w: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lang w:val="en-US" w:eastAsia="zh-CN"/>
                    </w:rPr>
                  </w:pPr>
                </w:p>
              </w:tc>
              <w:tc>
                <w:tcPr>
                  <w:tcW w:w="1804" w:type="dxa"/>
                  <w:tcBorders>
                    <w:top w:val="single" w:color="auto" w:sz="4" w:space="0"/>
                    <w:left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海泰</w:t>
                  </w:r>
                  <w:r>
                    <w:rPr>
                      <w:rFonts w:hint="default" w:ascii="宋体" w:hAnsi="宋体" w:eastAsia="宋体" w:cs="宋体"/>
                      <w:sz w:val="20"/>
                      <w:szCs w:val="20"/>
                      <w:lang w:val="en-US" w:eastAsia="zh-CN"/>
                    </w:rPr>
                    <w:t>机筒螺杆95</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eastAsia="zh-CN"/>
                    </w:rPr>
                    <w:t>上料机</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5</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eastAsia="zh-CN"/>
                    </w:rPr>
                    <w:t>循环水</w:t>
                  </w:r>
                  <w:r>
                    <w:rPr>
                      <w:rFonts w:hint="eastAsia" w:ascii="宋体" w:hAnsi="宋体" w:cs="宋体"/>
                      <w:sz w:val="20"/>
                      <w:szCs w:val="20"/>
                      <w:lang w:val="en-US" w:eastAsia="zh-CN"/>
                    </w:rPr>
                    <w:t>池</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3.6</w:t>
                  </w:r>
                  <w:r>
                    <w:rPr>
                      <w:rFonts w:hint="eastAsia" w:ascii="宋体" w:hAnsi="宋体" w:eastAsia="宋体" w:cs="宋体"/>
                      <w:sz w:val="20"/>
                      <w:szCs w:val="20"/>
                      <w:lang w:val="en-US" w:eastAsia="zh-CN"/>
                    </w:rPr>
                    <w:t>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4</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集气罩</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5</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1"/>
                      <w:szCs w:val="21"/>
                      <w:lang w:val="en-US" w:eastAsia="zh-CN"/>
                    </w:rPr>
                    <w:t>1m×1m</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2"/>
                      <w:lang w:val="en-US" w:eastAsia="zh-CN"/>
                    </w:rPr>
                  </w:pPr>
                  <w:r>
                    <w:rPr>
                      <w:rFonts w:hint="eastAsia" w:ascii="宋体" w:hAnsi="宋体" w:eastAsia="宋体" w:cs="宋体"/>
                      <w:sz w:val="20"/>
                      <w:szCs w:val="22"/>
                      <w:lang w:val="en-US" w:eastAsia="zh-CN"/>
                    </w:rPr>
                    <w:t>5</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风机</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highlight w:val="none"/>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2"/>
                      <w:lang w:val="en-US" w:eastAsia="zh-CN"/>
                    </w:rPr>
                  </w:pPr>
                  <w:r>
                    <w:rPr>
                      <w:rFonts w:hint="eastAsia" w:ascii="宋体" w:hAnsi="宋体" w:eastAsia="宋体" w:cs="宋体"/>
                      <w:sz w:val="20"/>
                      <w:szCs w:val="22"/>
                      <w:lang w:val="en-US" w:eastAsia="zh-CN"/>
                    </w:rPr>
                    <w:t>6</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活性炭箱</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0"/>
                      <w:szCs w:val="20"/>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highlight w:val="none"/>
                      <w:lang w:val="en-US" w:eastAsia="zh-CN"/>
                    </w:rPr>
                    <w:t>0.2</w:t>
                  </w:r>
                  <w:r>
                    <w:rPr>
                      <w:rFonts w:hint="eastAsia" w:ascii="宋体" w:hAnsi="宋体" w:cs="宋体"/>
                      <w:sz w:val="20"/>
                      <w:szCs w:val="20"/>
                      <w:highlight w:val="none"/>
                      <w:lang w:val="en-US" w:eastAsia="zh-CN"/>
                    </w:rPr>
                    <w:t>5</w:t>
                  </w:r>
                  <w:r>
                    <w:rPr>
                      <w:rFonts w:hint="eastAsia" w:ascii="宋体" w:hAnsi="宋体" w:eastAsia="宋体" w:cs="宋体"/>
                      <w:sz w:val="20"/>
                      <w:szCs w:val="20"/>
                      <w:highlight w:val="none"/>
                      <w:lang w:val="en-US" w:eastAsia="zh-CN"/>
                    </w:rPr>
                    <w:t>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013"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2"/>
                      <w:lang w:val="en-US" w:eastAsia="zh-CN"/>
                    </w:rPr>
                  </w:pPr>
                  <w:r>
                    <w:rPr>
                      <w:rFonts w:hint="eastAsia" w:ascii="宋体" w:hAnsi="宋体" w:eastAsia="宋体" w:cs="宋体"/>
                      <w:sz w:val="20"/>
                      <w:szCs w:val="22"/>
                      <w:lang w:val="en-US" w:eastAsia="zh-CN"/>
                    </w:rPr>
                    <w:t>7</w:t>
                  </w:r>
                </w:p>
              </w:tc>
              <w:tc>
                <w:tcPr>
                  <w:tcW w:w="227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电暖炉</w:t>
                  </w:r>
                </w:p>
              </w:tc>
              <w:tc>
                <w:tcPr>
                  <w:tcW w:w="149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1</w:t>
                  </w: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0"/>
                      <w:szCs w:val="20"/>
                      <w:lang w:val="en-US" w:eastAsia="zh-CN"/>
                    </w:rPr>
                  </w:pPr>
                </w:p>
              </w:tc>
              <w:tc>
                <w:tcPr>
                  <w:tcW w:w="180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表2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3</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主要原辅材料</w:t>
            </w:r>
          </w:p>
          <w:tbl>
            <w:tblPr>
              <w:tblStyle w:val="22"/>
              <w:tblW w:w="8388" w:type="dxa"/>
              <w:tblInd w:w="0" w:type="dxa"/>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
            <w:tblGrid>
              <w:gridCol w:w="1946"/>
              <w:gridCol w:w="1475"/>
              <w:gridCol w:w="1007"/>
              <w:gridCol w:w="1946"/>
              <w:gridCol w:w="1007"/>
              <w:gridCol w:w="1007"/>
            </w:tblGrid>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46" w:type="dxa"/>
                  <w:tcBorders>
                    <w:top w:val="single" w:color="auto" w:sz="1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名称</w:t>
                  </w:r>
                </w:p>
              </w:tc>
              <w:tc>
                <w:tcPr>
                  <w:tcW w:w="1475" w:type="dxa"/>
                  <w:tcBorders>
                    <w:top w:val="single" w:color="auto" w:sz="1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年用量</w:t>
                  </w:r>
                </w:p>
              </w:tc>
              <w:tc>
                <w:tcPr>
                  <w:tcW w:w="1007" w:type="dxa"/>
                  <w:tcBorders>
                    <w:top w:val="single" w:color="auto" w:sz="1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规格</w:t>
                  </w:r>
                </w:p>
              </w:tc>
              <w:tc>
                <w:tcPr>
                  <w:tcW w:w="1946" w:type="dxa"/>
                  <w:tcBorders>
                    <w:top w:val="single" w:color="auto" w:sz="1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主要成分</w:t>
                  </w:r>
                </w:p>
              </w:tc>
              <w:tc>
                <w:tcPr>
                  <w:tcW w:w="1007" w:type="dxa"/>
                  <w:tcBorders>
                    <w:top w:val="single" w:color="auto" w:sz="1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用途</w:t>
                  </w:r>
                </w:p>
              </w:tc>
              <w:tc>
                <w:tcPr>
                  <w:tcW w:w="1007" w:type="dxa"/>
                  <w:tcBorders>
                    <w:top w:val="single" w:color="auto" w:sz="1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default" w:ascii="Times New Roman" w:hAnsi="Times New Roman" w:eastAsia="宋体" w:cs="Times New Roman"/>
                      <w:color w:val="000000"/>
                      <w:szCs w:val="21"/>
                    </w:rPr>
                    <w:t>储存方式</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46" w:type="dxa"/>
                  <w:tcBorders>
                    <w:top w:val="single" w:color="auto" w:sz="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eastAsia" w:ascii="Times New Roman" w:hAnsi="Times New Roman" w:eastAsia="宋体" w:cs="Times New Roman"/>
                      <w:color w:val="000000"/>
                      <w:szCs w:val="21"/>
                      <w:lang w:eastAsia="zh-CN"/>
                    </w:rPr>
                    <w:t>聚丙烯</w:t>
                  </w:r>
                </w:p>
              </w:tc>
              <w:tc>
                <w:tcPr>
                  <w:tcW w:w="1475"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eastAsia" w:cs="Times New Roman"/>
                      <w:color w:val="000000"/>
                      <w:szCs w:val="21"/>
                      <w:lang w:val="en-US" w:eastAsia="zh-CN"/>
                    </w:rPr>
                    <w:t>2</w:t>
                  </w:r>
                  <w:r>
                    <w:rPr>
                      <w:rFonts w:hint="eastAsia" w:ascii="Times New Roman" w:hAnsi="Times New Roman" w:eastAsia="宋体" w:cs="Times New Roman"/>
                      <w:color w:val="000000"/>
                      <w:szCs w:val="21"/>
                      <w:lang w:val="en-US" w:eastAsia="zh-CN"/>
                    </w:rPr>
                    <w:t>00吨</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eastAsia" w:ascii="Times New Roman" w:hAnsi="Times New Roman" w:eastAsia="宋体" w:cs="Times New Roman"/>
                      <w:color w:val="000000"/>
                      <w:szCs w:val="21"/>
                      <w:lang w:val="en-US" w:eastAsia="zh-CN"/>
                    </w:rPr>
                    <w:t>/</w:t>
                  </w:r>
                </w:p>
              </w:tc>
              <w:tc>
                <w:tcPr>
                  <w:tcW w:w="1946"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eastAsia="zh-CN"/>
                    </w:rPr>
                  </w:pPr>
                  <w:r>
                    <w:rPr>
                      <w:rFonts w:hint="eastAsia" w:ascii="Times New Roman" w:hAnsi="Times New Roman" w:eastAsia="宋体" w:cs="Times New Roman"/>
                      <w:color w:val="000000"/>
                      <w:szCs w:val="21"/>
                      <w:lang w:eastAsia="zh-CN"/>
                    </w:rPr>
                    <w:t>聚丙烯</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0"/>
                      <w:szCs w:val="20"/>
                      <w:lang w:eastAsia="zh-CN"/>
                    </w:rPr>
                  </w:pPr>
                  <w:r>
                    <w:rPr>
                      <w:rFonts w:hint="eastAsia" w:ascii="Times New Roman" w:hAnsi="Times New Roman" w:eastAsia="宋体" w:cs="Times New Roman"/>
                      <w:color w:val="auto"/>
                      <w:szCs w:val="21"/>
                      <w:lang w:eastAsia="zh-CN"/>
                    </w:rPr>
                    <w:t>原料</w:t>
                  </w:r>
                </w:p>
              </w:tc>
              <w:tc>
                <w:tcPr>
                  <w:tcW w:w="1007" w:type="dxa"/>
                  <w:tcBorders>
                    <w:top w:val="single" w:color="auto" w:sz="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0"/>
                      <w:szCs w:val="20"/>
                    </w:rPr>
                  </w:pPr>
                  <w:r>
                    <w:rPr>
                      <w:rFonts w:hint="default" w:ascii="Times New Roman" w:hAnsi="Times New Roman" w:eastAsia="宋体" w:cs="Times New Roman"/>
                      <w:color w:val="auto"/>
                      <w:szCs w:val="21"/>
                    </w:rPr>
                    <w:t>外购、不使用废旧颗粒</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46" w:type="dxa"/>
                  <w:tcBorders>
                    <w:top w:val="single" w:color="auto" w:sz="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default" w:ascii="Times New Roman" w:hAnsi="Times New Roman" w:eastAsia="宋体" w:cs="Times New Roman"/>
                      <w:color w:val="000000"/>
                      <w:szCs w:val="21"/>
                    </w:rPr>
                    <w:t>包装袋</w:t>
                  </w:r>
                </w:p>
              </w:tc>
              <w:tc>
                <w:tcPr>
                  <w:tcW w:w="1475"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0"/>
                      <w:szCs w:val="20"/>
                      <w:lang w:val="en-US" w:eastAsia="zh-CN"/>
                    </w:rPr>
                  </w:pPr>
                  <w:r>
                    <w:rPr>
                      <w:rFonts w:hint="eastAsia" w:ascii="Times New Roman" w:hAnsi="Times New Roman" w:eastAsia="宋体" w:cs="Times New Roman"/>
                      <w:color w:val="000000"/>
                      <w:szCs w:val="21"/>
                      <w:lang w:val="en-US" w:eastAsia="zh-CN"/>
                    </w:rPr>
                    <w:t>1.0</w:t>
                  </w:r>
                  <w:r>
                    <w:rPr>
                      <w:rFonts w:hint="default" w:ascii="Times New Roman" w:hAnsi="Times New Roman" w:eastAsia="宋体" w:cs="Times New Roman"/>
                      <w:color w:val="000000"/>
                      <w:szCs w:val="21"/>
                    </w:rPr>
                    <w:t>吨</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highlight w:val="yellow"/>
                      <w:lang w:val="en-US" w:eastAsia="zh-CN"/>
                    </w:rPr>
                  </w:pPr>
                  <w:r>
                    <w:rPr>
                      <w:rFonts w:hint="default" w:ascii="Times New Roman" w:hAnsi="Times New Roman" w:eastAsia="宋体" w:cs="Times New Roman"/>
                      <w:color w:val="000000"/>
                      <w:szCs w:val="21"/>
                    </w:rPr>
                    <w:t>100个/卷</w:t>
                  </w:r>
                </w:p>
              </w:tc>
              <w:tc>
                <w:tcPr>
                  <w:tcW w:w="1946"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eastAsia="zh-CN"/>
                    </w:rPr>
                  </w:pPr>
                  <w:r>
                    <w:rPr>
                      <w:rFonts w:hint="default" w:ascii="Times New Roman" w:hAnsi="Times New Roman" w:eastAsia="宋体" w:cs="Times New Roman"/>
                      <w:color w:val="000000"/>
                      <w:szCs w:val="21"/>
                    </w:rPr>
                    <w:t>聚乙烯薄膜</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eastAsia="zh-CN"/>
                    </w:rPr>
                  </w:pPr>
                  <w:r>
                    <w:rPr>
                      <w:rFonts w:hint="default" w:ascii="Times New Roman" w:hAnsi="Times New Roman" w:eastAsia="宋体" w:cs="Times New Roman"/>
                      <w:color w:val="000000"/>
                      <w:szCs w:val="21"/>
                    </w:rPr>
                    <w:t>成品包装</w:t>
                  </w:r>
                </w:p>
              </w:tc>
              <w:tc>
                <w:tcPr>
                  <w:tcW w:w="1007" w:type="dxa"/>
                  <w:tcBorders>
                    <w:top w:val="single" w:color="auto" w:sz="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default" w:ascii="Times New Roman" w:hAnsi="Times New Roman" w:eastAsia="宋体" w:cs="Times New Roman"/>
                      <w:color w:val="000000"/>
                      <w:szCs w:val="21"/>
                    </w:rPr>
                    <w:t>仓库内贮存</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46" w:type="dxa"/>
                  <w:tcBorders>
                    <w:top w:val="single" w:color="auto" w:sz="2" w:space="0"/>
                    <w:left w:val="nil"/>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val="en-US" w:eastAsia="zh-CN"/>
                    </w:rPr>
                  </w:pPr>
                  <w:r>
                    <w:rPr>
                      <w:rFonts w:hint="eastAsia" w:ascii="Times New Roman" w:hAnsi="Times New Roman" w:eastAsia="宋体" w:cs="Times New Roman"/>
                      <w:color w:val="000000"/>
                      <w:szCs w:val="21"/>
                      <w:lang w:eastAsia="zh-CN"/>
                    </w:rPr>
                    <w:t>活性炭</w:t>
                  </w:r>
                </w:p>
              </w:tc>
              <w:tc>
                <w:tcPr>
                  <w:tcW w:w="1475"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0"/>
                      <w:szCs w:val="20"/>
                      <w:lang w:val="en-US" w:eastAsia="zh-CN"/>
                    </w:rPr>
                  </w:pPr>
                  <w:r>
                    <w:rPr>
                      <w:rFonts w:hint="eastAsia" w:cs="Times New Roman"/>
                      <w:color w:val="000000"/>
                      <w:szCs w:val="21"/>
                      <w:lang w:val="en-US" w:eastAsia="zh-CN"/>
                    </w:rPr>
                    <w:t>1</w:t>
                  </w:r>
                  <w:r>
                    <w:rPr>
                      <w:rFonts w:hint="eastAsia" w:ascii="Times New Roman" w:hAnsi="Times New Roman" w:eastAsia="宋体" w:cs="Times New Roman"/>
                      <w:color w:val="000000"/>
                      <w:szCs w:val="21"/>
                      <w:lang w:val="en-US" w:eastAsia="zh-CN"/>
                    </w:rPr>
                    <w:t>吨</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highlight w:val="yellow"/>
                      <w:lang w:val="en-US" w:eastAsia="zh-CN"/>
                    </w:rPr>
                  </w:pPr>
                  <w:r>
                    <w:rPr>
                      <w:rFonts w:hint="eastAsia" w:ascii="Times New Roman" w:hAnsi="Times New Roman" w:eastAsia="宋体" w:cs="Times New Roman"/>
                      <w:color w:val="000000"/>
                      <w:szCs w:val="21"/>
                      <w:lang w:val="en-US" w:eastAsia="zh-CN"/>
                    </w:rPr>
                    <w:t>/</w:t>
                  </w:r>
                </w:p>
              </w:tc>
              <w:tc>
                <w:tcPr>
                  <w:tcW w:w="1946"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eastAsia="zh-CN"/>
                    </w:rPr>
                  </w:pPr>
                  <w:r>
                    <w:rPr>
                      <w:rFonts w:hint="eastAsia" w:ascii="Times New Roman" w:hAnsi="Times New Roman" w:eastAsia="宋体" w:cs="Times New Roman"/>
                      <w:color w:val="000000"/>
                      <w:szCs w:val="21"/>
                      <w:lang w:eastAsia="zh-CN"/>
                    </w:rPr>
                    <w:t>活性炭</w:t>
                  </w:r>
                </w:p>
              </w:tc>
              <w:tc>
                <w:tcPr>
                  <w:tcW w:w="1007" w:type="dxa"/>
                  <w:tcBorders>
                    <w:top w:val="single" w:color="auto" w:sz="2" w:space="0"/>
                    <w:left w:val="single" w:color="auto" w:sz="2" w:space="0"/>
                    <w:bottom w:val="single" w:color="auto" w:sz="2" w:space="0"/>
                    <w:right w:val="single" w:color="auto" w:sz="2"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lang w:eastAsia="zh-CN"/>
                    </w:rPr>
                  </w:pPr>
                  <w:r>
                    <w:rPr>
                      <w:rFonts w:hint="eastAsia" w:ascii="Times New Roman" w:hAnsi="Times New Roman" w:eastAsia="宋体" w:cs="Times New Roman"/>
                      <w:color w:val="000000"/>
                      <w:szCs w:val="21"/>
                      <w:lang w:eastAsia="zh-CN"/>
                    </w:rPr>
                    <w:t>废气处理</w:t>
                  </w:r>
                </w:p>
              </w:tc>
              <w:tc>
                <w:tcPr>
                  <w:tcW w:w="1007" w:type="dxa"/>
                  <w:tcBorders>
                    <w:top w:val="single" w:color="auto" w:sz="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20"/>
                      <w:szCs w:val="20"/>
                    </w:rPr>
                  </w:pPr>
                  <w:r>
                    <w:rPr>
                      <w:rFonts w:hint="eastAsia" w:ascii="Times New Roman" w:hAnsi="Times New Roman" w:eastAsia="宋体" w:cs="Times New Roman"/>
                      <w:color w:val="000000"/>
                      <w:szCs w:val="21"/>
                      <w:lang w:eastAsia="zh-CN"/>
                    </w:rPr>
                    <w:t>外购，更换时由专业部门更换</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表2-4 </w:t>
            </w:r>
            <w:r>
              <w:rPr>
                <w:rFonts w:hint="eastAsia" w:ascii="宋体" w:hAnsi="宋体" w:eastAsia="宋体" w:cs="宋体"/>
                <w:b/>
                <w:bCs/>
                <w:sz w:val="24"/>
                <w:szCs w:val="24"/>
                <w:lang w:eastAsia="zh-CN"/>
              </w:rPr>
              <w:t>原辅材料</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lang w:eastAsia="zh-CN"/>
              </w:rPr>
              <w:t>理化性质</w:t>
            </w:r>
          </w:p>
          <w:tbl>
            <w:tblPr>
              <w:tblStyle w:val="22"/>
              <w:tblW w:w="8392" w:type="dxa"/>
              <w:tblInd w:w="0" w:type="dxa"/>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
            <w:tblGrid>
              <w:gridCol w:w="1282"/>
              <w:gridCol w:w="7110"/>
            </w:tblGrid>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282" w:type="dxa"/>
                  <w:tcBorders>
                    <w:top w:val="single" w:color="auto" w:sz="1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名称</w:t>
                  </w:r>
                </w:p>
              </w:tc>
              <w:tc>
                <w:tcPr>
                  <w:tcW w:w="7110" w:type="dxa"/>
                  <w:tcBorders>
                    <w:top w:val="single" w:color="auto" w:sz="1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理化性质</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282" w:type="dxa"/>
                  <w:tcBorders>
                    <w:top w:val="single" w:color="auto" w:sz="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聚丙烯</w:t>
                  </w:r>
                </w:p>
              </w:tc>
              <w:tc>
                <w:tcPr>
                  <w:tcW w:w="7110" w:type="dxa"/>
                  <w:tcBorders>
                    <w:top w:val="single" w:color="auto" w:sz="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eastAsia="zh-CN"/>
                    </w:rPr>
                    <w:t>聚丙烯为无毒、无臭、无味的乳白色高结晶的聚合物，密度只有0.90-0.91g/cm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 是目前所有塑料中最轻的品种之一。它对水特别稳定，在水中的吸水率仅为 0.01%，分子量约 8 万</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15 万。成型性好，但因收缩率大(为 1%~2.5%）</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厚壁制品易凹陷，对一些尺寸精度较高零件，很难于达到要求，制品表面光泽好。</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282" w:type="dxa"/>
                  <w:tcBorders>
                    <w:top w:val="single" w:color="auto" w:sz="2" w:space="0"/>
                    <w:left w:val="nil"/>
                    <w:bottom w:val="single" w:color="auto" w:sz="2" w:space="0"/>
                    <w:right w:val="single" w:color="auto" w:sz="2"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b w:val="0"/>
                      <w:bCs/>
                      <w:szCs w:val="21"/>
                      <w:lang w:eastAsia="zh-CN"/>
                    </w:rPr>
                    <w:t>活性炭</w:t>
                  </w:r>
                </w:p>
              </w:tc>
              <w:tc>
                <w:tcPr>
                  <w:tcW w:w="7110" w:type="dxa"/>
                  <w:tcBorders>
                    <w:top w:val="single" w:color="auto" w:sz="2" w:space="0"/>
                    <w:left w:val="single" w:color="auto" w:sz="2" w:space="0"/>
                    <w:bottom w:val="single" w:color="auto" w:sz="2" w:space="0"/>
                    <w:right w:val="nil"/>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又称活性炭黑。是黑色粉末状或块状、颗粒状、蜂窝状的无定形碳，也由排列规整的晶体碳。活性炭是一种很细小的碳粒，有很大的表面积，且碳粒中还有更细小的孔—毛细管。这种毛细管具有很强的吸附能力，由于碳粒的表面积很大，所以能与气体（杂质）充分接触。当这些气体（杂质）碰到毛细管的时候会被吸附，起净化作用。</w:t>
                  </w:r>
                </w:p>
              </w:tc>
            </w:tr>
          </w:tbl>
          <w:p>
            <w:pPr>
              <w:pStyle w:val="42"/>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
                <w:bCs w:val="0"/>
                <w:szCs w:val="21"/>
                <w:lang w:eastAsia="zh-CN"/>
              </w:rPr>
              <w:t>表</w:t>
            </w:r>
            <w:r>
              <w:rPr>
                <w:rFonts w:hint="eastAsia" w:ascii="Times New Roman" w:hAnsi="Times New Roman" w:eastAsia="宋体" w:cs="Times New Roman"/>
                <w:b/>
                <w:bCs w:val="0"/>
                <w:szCs w:val="21"/>
                <w:lang w:val="en-US" w:eastAsia="zh-CN"/>
              </w:rPr>
              <w:t>2-5主要能源消耗一览表</w:t>
            </w:r>
          </w:p>
          <w:tbl>
            <w:tblPr>
              <w:tblStyle w:val="23"/>
              <w:tblW w:w="8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604"/>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1"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szCs w:val="21"/>
                      <w:lang w:val="en-US" w:eastAsia="zh-CN"/>
                    </w:rPr>
                  </w:pPr>
                  <w:r>
                    <w:rPr>
                      <w:rFonts w:hint="eastAsia" w:ascii="Times New Roman" w:hAnsi="Times New Roman" w:eastAsia="宋体" w:cs="Times New Roman"/>
                      <w:b/>
                      <w:bCs/>
                      <w:color w:val="000000"/>
                      <w:szCs w:val="21"/>
                      <w:lang w:val="en-US" w:eastAsia="zh-CN"/>
                    </w:rPr>
                    <w:t xml:space="preserve"> 名称</w:t>
                  </w:r>
                </w:p>
              </w:tc>
              <w:tc>
                <w:tcPr>
                  <w:tcW w:w="2604"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szCs w:val="21"/>
                      <w:lang w:val="en-US" w:eastAsia="zh-CN"/>
                    </w:rPr>
                  </w:pPr>
                  <w:r>
                    <w:rPr>
                      <w:rFonts w:hint="eastAsia" w:ascii="Times New Roman" w:hAnsi="Times New Roman" w:eastAsia="宋体" w:cs="Times New Roman"/>
                      <w:b/>
                      <w:bCs/>
                      <w:color w:val="000000"/>
                      <w:szCs w:val="21"/>
                      <w:lang w:val="en-US" w:eastAsia="zh-CN"/>
                    </w:rPr>
                    <w:t>年用量</w:t>
                  </w:r>
                </w:p>
              </w:tc>
              <w:tc>
                <w:tcPr>
                  <w:tcW w:w="3840"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szCs w:val="21"/>
                      <w:lang w:val="en-US" w:eastAsia="zh-CN"/>
                    </w:rPr>
                  </w:pPr>
                  <w:r>
                    <w:rPr>
                      <w:rFonts w:hint="eastAsia" w:ascii="Times New Roman" w:hAnsi="Times New Roman" w:eastAsia="宋体" w:cs="Times New Roman"/>
                      <w:b/>
                      <w:bCs/>
                      <w:color w:val="000000"/>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1"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电</w:t>
                  </w:r>
                </w:p>
              </w:tc>
              <w:tc>
                <w:tcPr>
                  <w:tcW w:w="2604"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6.5</w:t>
                  </w:r>
                  <w:r>
                    <w:rPr>
                      <w:rFonts w:hint="default" w:ascii="Times New Roman" w:hAnsi="Times New Roman" w:eastAsia="宋体" w:cs="Times New Roman"/>
                      <w:color w:val="000000"/>
                      <w:szCs w:val="21"/>
                      <w:lang w:val="en-US" w:eastAsia="zh-CN"/>
                    </w:rPr>
                    <w:t>万kw·h</w:t>
                  </w:r>
                </w:p>
              </w:tc>
              <w:tc>
                <w:tcPr>
                  <w:tcW w:w="3840"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市供电管网提供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1"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水</w:t>
                  </w:r>
                </w:p>
              </w:tc>
              <w:tc>
                <w:tcPr>
                  <w:tcW w:w="2604"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35.7t</w:t>
                  </w:r>
                </w:p>
              </w:tc>
              <w:tc>
                <w:tcPr>
                  <w:tcW w:w="3840" w:type="dxa"/>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水井及外购矿泉水</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4、产品方案</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000000"/>
                <w:kern w:val="2"/>
                <w:sz w:val="24"/>
                <w:szCs w:val="21"/>
                <w:lang w:val="en-US" w:eastAsia="zh-CN" w:bidi="ar-SA"/>
              </w:rPr>
            </w:pPr>
            <w:r>
              <w:rPr>
                <w:rFonts w:hint="eastAsia" w:ascii="Times New Roman" w:hAnsi="Times New Roman" w:eastAsia="宋体" w:cs="Times New Roman"/>
                <w:b/>
                <w:bCs w:val="0"/>
                <w:color w:val="000000"/>
                <w:kern w:val="2"/>
                <w:sz w:val="24"/>
                <w:szCs w:val="21"/>
                <w:lang w:val="en-US" w:eastAsia="zh-CN" w:bidi="ar-SA"/>
              </w:rPr>
              <w:t>表2-6产品信息一览表</w:t>
            </w:r>
          </w:p>
          <w:tbl>
            <w:tblPr>
              <w:tblStyle w:val="23"/>
              <w:tblW w:w="8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100"/>
              <w:gridCol w:w="2095"/>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t>产品名称</w:t>
                  </w: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t>产品型号</w:t>
                  </w:r>
                </w:p>
              </w:tc>
              <w:tc>
                <w:tcPr>
                  <w:tcW w:w="2095"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val="0"/>
                      <w:color w:val="000000" w:themeColor="text1"/>
                      <w:kern w:val="2"/>
                      <w:sz w:val="21"/>
                      <w:szCs w:val="21"/>
                      <w:vertAlign w:val="baseline"/>
                      <w:lang w:val="en-US" w:eastAsia="zh-CN" w:bidi="ar-SA"/>
                      <w14:textFill>
                        <w14:solidFill>
                          <w14:schemeClr w14:val="tx1"/>
                        </w14:solidFill>
                      </w14:textFill>
                    </w:rPr>
                    <w:t>产品数量</w:t>
                  </w:r>
                </w:p>
              </w:tc>
              <w:tc>
                <w:tcPr>
                  <w:tcW w:w="2096"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vertAlign w:val="baseline"/>
                      <w:lang w:val="en-US" w:eastAsia="zh-CN" w:bidi="ar-SA"/>
                      <w14:textFill>
                        <w14:solidFill>
                          <w14:schemeClr w14:val="tx1"/>
                        </w14:solidFill>
                      </w14:textFill>
                    </w:rPr>
                    <w:t>产品原料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restart"/>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val="0"/>
                      <w:bCs/>
                      <w:color w:val="000000" w:themeColor="text1"/>
                      <w:kern w:val="2"/>
                      <w:sz w:val="21"/>
                      <w:szCs w:val="21"/>
                      <w:vertAlign w:val="baseline"/>
                      <w:lang w:val="en-US" w:eastAsia="zh-CN" w:bidi="ar-SA"/>
                      <w14:textFill>
                        <w14:solidFill>
                          <w14:schemeClr w14:val="tx1"/>
                        </w14:solidFill>
                      </w14:textFill>
                    </w:rPr>
                    <w:t>塑料筐</w:t>
                  </w: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680*480*400mm</w:t>
                  </w:r>
                </w:p>
              </w:tc>
              <w:tc>
                <w:tcPr>
                  <w:tcW w:w="2095" w:type="dxa"/>
                  <w:vMerge w:val="restart"/>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生产情况根据市场需求确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定，无各规格确定数量，本项目生产产品总重量为每年</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w:t>
                  </w:r>
                </w:p>
              </w:tc>
              <w:tc>
                <w:tcPr>
                  <w:tcW w:w="2096" w:type="dxa"/>
                  <w:vMerge w:val="restart"/>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聚丙烯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610*420*115mm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620*425*150mm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600*410*190mm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620*425*200mm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620*425*260mm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100"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620*425*310mm</w:t>
                  </w:r>
                </w:p>
              </w:tc>
              <w:tc>
                <w:tcPr>
                  <w:tcW w:w="2095"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c>
                <w:tcPr>
                  <w:tcW w:w="2096"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000000"/>
                      <w:kern w:val="2"/>
                      <w:sz w:val="21"/>
                      <w:szCs w:val="21"/>
                      <w:vertAlign w:val="baseline"/>
                      <w:lang w:val="en-US" w:eastAsia="zh-CN" w:bidi="ar-SA"/>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宋体" w:hAnsi="宋体" w:eastAsia="宋体" w:cs="宋体"/>
                <w:b w:val="0"/>
                <w:bCs w:val="0"/>
                <w:sz w:val="24"/>
                <w:szCs w:val="24"/>
                <w:lang w:val="en-US" w:eastAsia="zh-CN"/>
              </w:rPr>
              <w:t>根</w:t>
            </w:r>
            <w:r>
              <w:rPr>
                <w:rFonts w:hint="default" w:ascii="Times New Roman" w:hAnsi="Times New Roman" w:eastAsia="宋体" w:cs="Times New Roman"/>
                <w:b w:val="0"/>
                <w:bCs w:val="0"/>
                <w:sz w:val="24"/>
                <w:szCs w:val="24"/>
                <w:lang w:val="en-US" w:eastAsia="zh-CN"/>
              </w:rPr>
              <w:t>据项目单位提供的资料，本项目生产塑</w:t>
            </w:r>
            <w:r>
              <w:rPr>
                <w:rFonts w:hint="default" w:ascii="Times New Roman" w:hAnsi="Times New Roman" w:eastAsia="宋体" w:cs="Times New Roman"/>
                <w:b w:val="0"/>
                <w:bCs w:val="0"/>
                <w:color w:val="auto"/>
                <w:sz w:val="24"/>
                <w:szCs w:val="24"/>
                <w:lang w:val="en-US" w:eastAsia="zh-CN"/>
              </w:rPr>
              <w:t>料筐的原料为</w:t>
            </w: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00t/a，不合格产品破碎后重新利用，</w:t>
            </w:r>
            <w:r>
              <w:rPr>
                <w:rFonts w:hint="default" w:ascii="Times New Roman" w:hAnsi="Times New Roman" w:eastAsia="宋体" w:cs="Times New Roman"/>
                <w:color w:val="auto"/>
                <w:sz w:val="24"/>
                <w:szCs w:val="24"/>
                <w:vertAlign w:val="baseline"/>
                <w:lang w:val="en-US" w:eastAsia="zh-CN"/>
              </w:rPr>
              <w:t>破碎过程会产生少量粉尘，由于残次品产生量少，破碎后碎料都投入注塑机中重新利用，本环评不做量化分析。</w:t>
            </w:r>
            <w:r>
              <w:rPr>
                <w:rFonts w:hint="default" w:ascii="Times New Roman" w:hAnsi="Times New Roman" w:eastAsia="宋体" w:cs="Times New Roman"/>
                <w:b w:val="0"/>
                <w:bCs w:val="0"/>
                <w:color w:val="auto"/>
                <w:sz w:val="24"/>
                <w:szCs w:val="24"/>
                <w:lang w:val="en-US" w:eastAsia="zh-CN"/>
              </w:rPr>
              <w:t>因此，项目生产基本不产生损耗，成品筐为</w:t>
            </w:r>
            <w:r>
              <w:rPr>
                <w:rFonts w:hint="default" w:ascii="Times New Roman" w:hAnsi="Times New Roman"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0万个/年。本项目的物量平衡见下图。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327650" cy="2898140"/>
                  <wp:effectExtent l="0" t="0" r="0" b="0"/>
                  <wp:docPr id="6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B019B1-382A-4266-B25C-5B523AA43C14-1" descr="wps"/>
                          <pic:cNvPicPr>
                            <a:picLocks noChangeAspect="1"/>
                          </pic:cNvPicPr>
                        </pic:nvPicPr>
                        <pic:blipFill>
                          <a:blip r:embed="rId8"/>
                          <a:stretch>
                            <a:fillRect/>
                          </a:stretch>
                        </pic:blipFill>
                        <pic:spPr>
                          <a:xfrm>
                            <a:off x="0" y="0"/>
                            <a:ext cx="5327650" cy="289814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宋体" w:hAnsi="宋体" w:eastAsia="宋体" w:cs="宋体"/>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图2-1 本项目物量平衡图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公用工程</w:t>
            </w:r>
          </w:p>
          <w:p>
            <w:pPr>
              <w:keepNext w:val="0"/>
              <w:keepLines w:val="0"/>
              <w:numPr>
                <w:ilvl w:val="0"/>
                <w:numId w:val="0"/>
              </w:numPr>
              <w:suppressLineNumbers w:val="0"/>
              <w:adjustRightInd w:val="0"/>
              <w:snapToGrid w:val="0"/>
              <w:spacing w:before="0" w:beforeAutospacing="0" w:after="0" w:afterAutospacing="0" w:line="360" w:lineRule="auto"/>
              <w:ind w:left="400" w:leftChars="0"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(1)给水</w:t>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lang w:val="en-US" w:eastAsia="zh-CN"/>
              </w:rPr>
              <w:t>本项</w:t>
            </w:r>
            <w:r>
              <w:rPr>
                <w:rFonts w:hint="eastAsia" w:ascii="宋体" w:hAnsi="宋体" w:eastAsia="宋体" w:cs="宋体"/>
                <w:b w:val="0"/>
                <w:bCs w:val="0"/>
                <w:sz w:val="24"/>
                <w:szCs w:val="24"/>
                <w:highlight w:val="none"/>
                <w:lang w:val="en-US" w:eastAsia="zh-CN"/>
              </w:rPr>
              <w:t>目饮用水及生产用水均由供水管网提供。</w:t>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本项目用水情况如下表。</w:t>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0" w:firstLineChars="0"/>
              <w:jc w:val="center"/>
              <w:textAlignment w:val="auto"/>
              <w:rPr>
                <w:rFonts w:hint="default" w:ascii="宋体" w:hAnsi="宋体" w:eastAsia="宋体" w:cs="宋体"/>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表2-5 项目用水情况一览表（单位：t）</w:t>
            </w:r>
          </w:p>
          <w:tbl>
            <w:tblPr>
              <w:tblStyle w:val="23"/>
              <w:tblW w:w="839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444"/>
              <w:gridCol w:w="1763"/>
              <w:gridCol w:w="1597"/>
              <w:gridCol w:w="1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用水项目</w:t>
                  </w:r>
                </w:p>
              </w:tc>
              <w:tc>
                <w:tcPr>
                  <w:tcW w:w="14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用水定额</w:t>
                  </w:r>
                </w:p>
              </w:tc>
              <w:tc>
                <w:tcPr>
                  <w:tcW w:w="17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用水规模</w:t>
                  </w:r>
                </w:p>
              </w:tc>
              <w:tc>
                <w:tcPr>
                  <w:tcW w:w="15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日用水量</w:t>
                  </w:r>
                </w:p>
              </w:tc>
              <w:tc>
                <w:tcPr>
                  <w:tcW w:w="16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年用水量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职工用水</w:t>
                  </w:r>
                </w:p>
              </w:tc>
              <w:tc>
                <w:tcPr>
                  <w:tcW w:w="14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40L/d</w:t>
                  </w:r>
                </w:p>
              </w:tc>
              <w:tc>
                <w:tcPr>
                  <w:tcW w:w="17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10人</w:t>
                  </w:r>
                </w:p>
              </w:tc>
              <w:tc>
                <w:tcPr>
                  <w:tcW w:w="15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0.4</w:t>
                  </w:r>
                </w:p>
              </w:tc>
              <w:tc>
                <w:tcPr>
                  <w:tcW w:w="16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循环水铁罐用水</w:t>
                  </w:r>
                </w:p>
              </w:tc>
              <w:tc>
                <w:tcPr>
                  <w:tcW w:w="14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w:t>
                  </w:r>
                  <w:r>
                    <w:rPr>
                      <w:rFonts w:hint="eastAsia" w:ascii="Times New Roman" w:hAnsi="Times New Roman" w:cs="Times New Roman"/>
                      <w:sz w:val="21"/>
                      <w:szCs w:val="21"/>
                      <w:vertAlign w:val="baseline"/>
                      <w:lang w:val="en-US" w:eastAsia="zh-CN"/>
                    </w:rPr>
                    <w:t>t/次</w:t>
                  </w:r>
                </w:p>
              </w:tc>
              <w:tc>
                <w:tcPr>
                  <w:tcW w:w="17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每7天补给1次</w:t>
                  </w:r>
                </w:p>
              </w:tc>
              <w:tc>
                <w:tcPr>
                  <w:tcW w:w="15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0.286</w:t>
                  </w:r>
                </w:p>
              </w:tc>
              <w:tc>
                <w:tcPr>
                  <w:tcW w:w="16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115"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合计</w:t>
                  </w:r>
                </w:p>
              </w:tc>
              <w:tc>
                <w:tcPr>
                  <w:tcW w:w="15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0.686</w:t>
                  </w:r>
                </w:p>
              </w:tc>
              <w:tc>
                <w:tcPr>
                  <w:tcW w:w="16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68.6</w:t>
                  </w:r>
                </w:p>
              </w:tc>
            </w:tr>
          </w:tbl>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p>
            <w:pPr>
              <w:keepNext w:val="0"/>
              <w:keepLines w:val="0"/>
              <w:numPr>
                <w:ilvl w:val="0"/>
                <w:numId w:val="0"/>
              </w:numPr>
              <w:suppressLineNumbers w:val="0"/>
              <w:adjustRightInd w:val="0"/>
              <w:snapToGrid w:val="0"/>
              <w:spacing w:before="0" w:beforeAutospacing="0" w:after="0" w:afterAutospacing="0" w:line="360" w:lineRule="auto"/>
              <w:ind w:left="400" w:leftChars="0"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(2)排水</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本项目生活污水排入防渗旱厕，定期清掏，用于施肥；生产用水在循环水冷罐内循环利用，</w:t>
            </w:r>
            <w:r>
              <w:rPr>
                <w:rFonts w:hint="eastAsia" w:ascii="宋体" w:hAnsi="宋体" w:cs="宋体"/>
                <w:color w:val="auto"/>
                <w:sz w:val="24"/>
                <w:szCs w:val="24"/>
                <w:lang w:val="en-US" w:eastAsia="zh-CN"/>
              </w:rPr>
              <w:t>注塑机冷却</w:t>
            </w:r>
            <w:r>
              <w:rPr>
                <w:rFonts w:hint="eastAsia" w:ascii="宋体" w:hAnsi="宋体" w:eastAsia="宋体" w:cs="宋体"/>
                <w:color w:val="auto"/>
                <w:sz w:val="24"/>
                <w:szCs w:val="24"/>
                <w:lang w:val="en-US" w:eastAsia="zh-CN"/>
              </w:rPr>
              <w:t>塑料模具</w:t>
            </w:r>
            <w:r>
              <w:rPr>
                <w:rFonts w:hint="eastAsia" w:ascii="宋体" w:hAnsi="宋体" w:cs="宋体"/>
                <w:color w:val="auto"/>
                <w:sz w:val="24"/>
                <w:szCs w:val="24"/>
                <w:lang w:val="en-US" w:eastAsia="zh-CN"/>
              </w:rPr>
              <w:t>有</w:t>
            </w:r>
            <w:r>
              <w:rPr>
                <w:rFonts w:hint="eastAsia" w:ascii="宋体" w:hAnsi="宋体" w:eastAsia="宋体" w:cs="宋体"/>
                <w:color w:val="auto"/>
                <w:sz w:val="24"/>
                <w:szCs w:val="24"/>
                <w:lang w:val="en-US" w:eastAsia="zh-CN"/>
              </w:rPr>
              <w:t>蒸发损耗，需要定期补给，</w:t>
            </w:r>
            <w:r>
              <w:rPr>
                <w:rFonts w:hint="eastAsia" w:ascii="宋体" w:hAnsi="宋体" w:cs="宋体"/>
                <w:color w:val="auto"/>
                <w:sz w:val="24"/>
                <w:szCs w:val="24"/>
                <w:lang w:val="en-US" w:eastAsia="zh-CN"/>
              </w:rPr>
              <w:t>用水循环利用，</w:t>
            </w:r>
            <w:r>
              <w:rPr>
                <w:rFonts w:hint="eastAsia" w:ascii="宋体" w:hAnsi="宋体" w:eastAsia="宋体" w:cs="宋体"/>
                <w:color w:val="auto"/>
                <w:sz w:val="24"/>
                <w:szCs w:val="24"/>
                <w:lang w:val="en-US" w:eastAsia="zh-CN"/>
              </w:rPr>
              <w:t>不外排。循环水</w:t>
            </w:r>
            <w:r>
              <w:rPr>
                <w:rFonts w:hint="eastAsia" w:ascii="宋体" w:hAnsi="宋体" w:cs="宋体"/>
                <w:color w:val="auto"/>
                <w:sz w:val="24"/>
                <w:szCs w:val="24"/>
                <w:lang w:val="en-US" w:eastAsia="zh-CN"/>
              </w:rPr>
              <w:t>池</w:t>
            </w:r>
            <w:r>
              <w:rPr>
                <w:rFonts w:hint="eastAsia" w:ascii="宋体" w:hAnsi="宋体" w:eastAsia="宋体" w:cs="宋体"/>
                <w:color w:val="auto"/>
                <w:sz w:val="24"/>
                <w:szCs w:val="24"/>
                <w:lang w:val="en-US" w:eastAsia="zh-CN"/>
              </w:rPr>
              <w:t>的废水属于清净水，每年停产的时候</w:t>
            </w:r>
            <w:r>
              <w:rPr>
                <w:rFonts w:hint="eastAsia" w:ascii="宋体" w:hAnsi="宋体" w:cs="宋体"/>
                <w:color w:val="auto"/>
                <w:sz w:val="24"/>
                <w:szCs w:val="24"/>
                <w:lang w:val="en-US" w:eastAsia="zh-CN"/>
              </w:rPr>
              <w:t>进行厂区大扫除时用于厂区及车间洒水降尘</w:t>
            </w:r>
            <w:r>
              <w:rPr>
                <w:rFonts w:hint="eastAsia" w:ascii="宋体" w:hAnsi="宋体" w:eastAsia="宋体" w:cs="宋体"/>
                <w:color w:val="auto"/>
                <w:sz w:val="24"/>
                <w:szCs w:val="24"/>
                <w:lang w:val="en-US" w:eastAsia="zh-CN"/>
              </w:rPr>
              <w:t>，再生产时重新加满。</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本项目给排水情况详见下表。</w:t>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0" w:firstLine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表2-6 项目给排水情况一览表（单位：t）</w:t>
            </w:r>
          </w:p>
          <w:tbl>
            <w:tblPr>
              <w:tblStyle w:val="23"/>
              <w:tblW w:w="83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17"/>
              <w:gridCol w:w="1180"/>
              <w:gridCol w:w="1329"/>
              <w:gridCol w:w="1397"/>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用水项目</w:t>
                  </w:r>
                </w:p>
              </w:tc>
              <w:tc>
                <w:tcPr>
                  <w:tcW w:w="121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日用水量</w:t>
                  </w:r>
                </w:p>
              </w:tc>
              <w:tc>
                <w:tcPr>
                  <w:tcW w:w="11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年用水量</w:t>
                  </w:r>
                </w:p>
              </w:tc>
              <w:tc>
                <w:tcPr>
                  <w:tcW w:w="13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日排水量</w:t>
                  </w:r>
                </w:p>
              </w:tc>
              <w:tc>
                <w:tcPr>
                  <w:tcW w:w="13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年排水量</w:t>
                  </w:r>
                </w:p>
              </w:tc>
              <w:tc>
                <w:tcPr>
                  <w:tcW w:w="1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职工用水</w:t>
                  </w:r>
                </w:p>
              </w:tc>
              <w:tc>
                <w:tcPr>
                  <w:tcW w:w="121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0.4</w:t>
                  </w:r>
                </w:p>
              </w:tc>
              <w:tc>
                <w:tcPr>
                  <w:tcW w:w="11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kern w:val="2"/>
                      <w:sz w:val="21"/>
                      <w:szCs w:val="21"/>
                      <w:vertAlign w:val="baseline"/>
                      <w:lang w:val="en-US" w:eastAsia="zh-CN" w:bidi="ar-SA"/>
                    </w:rPr>
                  </w:pPr>
                  <w:r>
                    <w:rPr>
                      <w:rFonts w:hint="eastAsia" w:cs="Times New Roman"/>
                      <w:sz w:val="21"/>
                      <w:szCs w:val="21"/>
                      <w:vertAlign w:val="baseline"/>
                      <w:lang w:val="en-US" w:eastAsia="zh-CN"/>
                    </w:rPr>
                    <w:t>40</w:t>
                  </w:r>
                </w:p>
              </w:tc>
              <w:tc>
                <w:tcPr>
                  <w:tcW w:w="13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0.32</w:t>
                  </w:r>
                </w:p>
              </w:tc>
              <w:tc>
                <w:tcPr>
                  <w:tcW w:w="13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32</w:t>
                  </w:r>
                </w:p>
              </w:tc>
              <w:tc>
                <w:tcPr>
                  <w:tcW w:w="1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防渗旱厕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循环水</w:t>
                  </w:r>
                  <w:r>
                    <w:rPr>
                      <w:rFonts w:hint="eastAsia" w:cs="Times New Roman"/>
                      <w:sz w:val="21"/>
                      <w:szCs w:val="21"/>
                      <w:vertAlign w:val="baseline"/>
                      <w:lang w:val="en-US" w:eastAsia="zh-CN"/>
                    </w:rPr>
                    <w:t>池</w:t>
                  </w:r>
                  <w:r>
                    <w:rPr>
                      <w:rFonts w:hint="eastAsia" w:ascii="Times New Roman" w:hAnsi="Times New Roman" w:cs="Times New Roman"/>
                      <w:sz w:val="21"/>
                      <w:szCs w:val="21"/>
                      <w:vertAlign w:val="baseline"/>
                      <w:lang w:val="en-US" w:eastAsia="zh-CN"/>
                    </w:rPr>
                    <w:t>用水</w:t>
                  </w:r>
                </w:p>
              </w:tc>
              <w:tc>
                <w:tcPr>
                  <w:tcW w:w="121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kern w:val="2"/>
                      <w:sz w:val="21"/>
                      <w:szCs w:val="21"/>
                      <w:vertAlign w:val="baseline"/>
                      <w:lang w:val="en-US" w:eastAsia="zh-CN" w:bidi="ar-SA"/>
                    </w:rPr>
                  </w:pPr>
                  <w:r>
                    <w:rPr>
                      <w:rFonts w:hint="eastAsia" w:cs="Times New Roman"/>
                      <w:sz w:val="21"/>
                      <w:szCs w:val="21"/>
                      <w:vertAlign w:val="baseline"/>
                      <w:lang w:val="en-US" w:eastAsia="zh-CN"/>
                    </w:rPr>
                    <w:t>0.286</w:t>
                  </w:r>
                </w:p>
              </w:tc>
              <w:tc>
                <w:tcPr>
                  <w:tcW w:w="11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28.6</w:t>
                  </w:r>
                </w:p>
              </w:tc>
              <w:tc>
                <w:tcPr>
                  <w:tcW w:w="13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3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合计</w:t>
                  </w:r>
                </w:p>
              </w:tc>
              <w:tc>
                <w:tcPr>
                  <w:tcW w:w="121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0.686</w:t>
                  </w:r>
                </w:p>
              </w:tc>
              <w:tc>
                <w:tcPr>
                  <w:tcW w:w="11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kern w:val="2"/>
                      <w:sz w:val="21"/>
                      <w:szCs w:val="21"/>
                      <w:vertAlign w:val="baseline"/>
                      <w:lang w:val="en-US" w:eastAsia="zh-CN" w:bidi="ar-SA"/>
                    </w:rPr>
                  </w:pPr>
                </w:p>
              </w:tc>
              <w:tc>
                <w:tcPr>
                  <w:tcW w:w="13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0.32</w:t>
                  </w:r>
                </w:p>
              </w:tc>
              <w:tc>
                <w:tcPr>
                  <w:tcW w:w="13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32</w:t>
                  </w:r>
                </w:p>
              </w:tc>
              <w:tc>
                <w:tcPr>
                  <w:tcW w:w="1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bl>
          <w:p>
            <w:pPr>
              <w:pStyle w:val="6"/>
              <w:keepNext/>
              <w:keepLines w:val="0"/>
              <w:pageBreakBefore w:val="0"/>
              <w:widowControl w:val="0"/>
              <w:suppressLineNumbers w:val="0"/>
              <w:kinsoku/>
              <w:wordWrap/>
              <w:overflowPunct w:val="0"/>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b w:val="0"/>
                <w:bCs w:val="0"/>
                <w:sz w:val="24"/>
                <w:szCs w:val="24"/>
                <w:lang w:val="en-US" w:eastAsia="zh-CN"/>
              </w:rPr>
            </w:pPr>
            <w:r>
              <w:rPr>
                <w:rFonts w:hint="eastAsia" w:ascii="宋体" w:hAnsi="宋体" w:eastAsia="宋体" w:cs="宋体"/>
                <w:b w:val="0"/>
                <w:bCs w:val="0"/>
                <w:sz w:val="24"/>
                <w:szCs w:val="24"/>
                <w:lang w:val="en-US" w:eastAsia="zh-CN"/>
              </w:rPr>
              <w:t>本项目水平衡见下图。</w:t>
            </w:r>
          </w:p>
          <w:p>
            <w:pPr>
              <w:pStyle w:val="6"/>
              <w:keepNext/>
              <w:keepLines w:val="0"/>
              <w:pageBreakBefore w:val="0"/>
              <w:widowControl w:val="0"/>
              <w:suppressLineNumbers w:val="0"/>
              <w:kinsoku/>
              <w:wordWrap/>
              <w:overflowPunct w:val="0"/>
              <w:topLinePunct w:val="0"/>
              <w:autoSpaceDE/>
              <w:autoSpaceDN/>
              <w:bidi w:val="0"/>
              <w:adjustRightInd/>
              <w:snapToGrid w:val="0"/>
              <w:spacing w:beforeAutospacing="0" w:afterAutospacing="0" w:line="360" w:lineRule="auto"/>
              <w:ind w:left="0" w:right="0" w:firstLine="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4230370" cy="3926205"/>
                  <wp:effectExtent l="0" t="0" r="0" b="0"/>
                  <wp:docPr id="2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2" descr="wps"/>
                          <pic:cNvPicPr>
                            <a:picLocks noChangeAspect="1"/>
                          </pic:cNvPicPr>
                        </pic:nvPicPr>
                        <pic:blipFill>
                          <a:blip r:embed="rId9"/>
                          <a:stretch>
                            <a:fillRect/>
                          </a:stretch>
                        </pic:blipFill>
                        <pic:spPr>
                          <a:xfrm>
                            <a:off x="0" y="0"/>
                            <a:ext cx="4230370" cy="3926205"/>
                          </a:xfrm>
                          <a:prstGeom prst="rect">
                            <a:avLst/>
                          </a:prstGeom>
                        </pic:spPr>
                      </pic:pic>
                    </a:graphicData>
                  </a:graphic>
                </wp:inline>
              </w:drawing>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图2-2 本项目水平衡图</w:t>
            </w:r>
          </w:p>
          <w:p>
            <w:pPr>
              <w:keepNext w:val="0"/>
              <w:keepLines w:val="0"/>
              <w:numPr>
                <w:ilvl w:val="0"/>
                <w:numId w:val="0"/>
              </w:numPr>
              <w:suppressLineNumbers w:val="0"/>
              <w:adjustRightInd w:val="0"/>
              <w:snapToGrid w:val="0"/>
              <w:spacing w:before="0" w:beforeAutospacing="0" w:after="0" w:afterAutospacing="0" w:line="360" w:lineRule="auto"/>
              <w:ind w:left="400" w:leftChars="0"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本项目用电依托振兴村基础供电设施。</w:t>
            </w:r>
          </w:p>
          <w:p>
            <w:pPr>
              <w:keepNext w:val="0"/>
              <w:keepLines w:val="0"/>
              <w:numPr>
                <w:ilvl w:val="0"/>
                <w:numId w:val="0"/>
              </w:numPr>
              <w:suppressLineNumbers w:val="0"/>
              <w:adjustRightInd w:val="0"/>
              <w:snapToGrid w:val="0"/>
              <w:spacing w:before="0" w:beforeAutospacing="0" w:after="0" w:afterAutospacing="0" w:line="360" w:lineRule="auto"/>
              <w:ind w:left="400" w:leftChars="0"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(4)供暖</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本项目生产设备使用电力，办公室用电取暖。</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、劳动定员制度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本项目职工10人，</w:t>
            </w:r>
            <w:r>
              <w:rPr>
                <w:rFonts w:hint="eastAsia" w:ascii="宋体" w:hAnsi="宋体" w:cs="宋体"/>
                <w:sz w:val="24"/>
                <w:szCs w:val="24"/>
                <w:lang w:val="en-US" w:eastAsia="zh-CN"/>
              </w:rPr>
              <w:t>一班制</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每天工作时长8h，每年工作天数100d</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7</w:t>
            </w:r>
            <w:r>
              <w:rPr>
                <w:rFonts w:hint="eastAsia" w:ascii="宋体" w:hAnsi="宋体" w:eastAsia="宋体" w:cs="宋体"/>
                <w:b/>
                <w:bCs/>
                <w:sz w:val="24"/>
                <w:szCs w:val="24"/>
                <w:lang w:val="en-US" w:eastAsia="zh-CN"/>
              </w:rPr>
              <w:t>、厂区平面布置</w:t>
            </w:r>
          </w:p>
          <w:p>
            <w:pPr>
              <w:pStyle w:val="16"/>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p>
          <w:p>
            <w:pPr>
              <w:pStyle w:val="16"/>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 w:val="22"/>
                <w:szCs w:val="22"/>
                <w:highlight w:val="none"/>
                <w:lang w:val="en-US" w:eastAsia="zh-CN"/>
              </w:rPr>
            </w:pPr>
            <w:r>
              <w:rPr>
                <w:rFonts w:hint="default" w:ascii="Times New Roman" w:hAnsi="Times New Roman" w:eastAsia="宋体" w:cs="Times New Roman"/>
                <w:b/>
                <w:bCs/>
                <w:sz w:val="24"/>
                <w:szCs w:val="24"/>
                <w:highlight w:val="none"/>
                <w:lang w:val="en-US" w:eastAsia="zh-CN"/>
              </w:rPr>
              <w:t>图2-2  本项目厂区平面布置图</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本项目的厂区</w:t>
            </w:r>
            <w:r>
              <w:rPr>
                <w:rFonts w:hint="eastAsia" w:cs="Times New Roman"/>
                <w:color w:val="auto"/>
                <w:sz w:val="24"/>
                <w:szCs w:val="24"/>
                <w:highlight w:val="none"/>
                <w:lang w:val="en-US" w:eastAsia="zh-CN"/>
              </w:rPr>
              <w:t>东侧为</w:t>
            </w:r>
            <w:r>
              <w:rPr>
                <w:rFonts w:hint="eastAsia" w:cs="Times New Roman"/>
                <w:color w:val="auto"/>
                <w:sz w:val="24"/>
                <w:szCs w:val="24"/>
                <w:lang w:val="en-US" w:eastAsia="zh-CN"/>
              </w:rPr>
              <w:t>闲置厂房，南侧为闲置居民房屋，西侧为废油加工厂及居民住宅，北侧为闲置厂房</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台注塑机在生产车间</w:t>
            </w:r>
            <w:r>
              <w:rPr>
                <w:rFonts w:hint="eastAsia" w:ascii="宋体" w:hAnsi="宋体" w:cs="宋体"/>
                <w:sz w:val="24"/>
                <w:szCs w:val="24"/>
                <w:lang w:val="en-US" w:eastAsia="zh-CN"/>
              </w:rPr>
              <w:t>平行放置</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循环水池设置</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生产车间</w:t>
            </w:r>
            <w:r>
              <w:rPr>
                <w:rFonts w:hint="eastAsia" w:ascii="宋体" w:hAnsi="宋体" w:eastAsia="宋体" w:cs="宋体"/>
                <w:sz w:val="24"/>
                <w:szCs w:val="24"/>
                <w:lang w:val="en-US" w:eastAsia="zh-CN"/>
              </w:rPr>
              <w:t>内的东</w:t>
            </w:r>
            <w:r>
              <w:rPr>
                <w:rFonts w:hint="eastAsia" w:ascii="宋体" w:hAnsi="宋体" w:cs="宋体"/>
                <w:sz w:val="24"/>
                <w:szCs w:val="24"/>
                <w:lang w:val="en-US" w:eastAsia="zh-CN"/>
              </w:rPr>
              <w:t>侧</w:t>
            </w:r>
            <w:r>
              <w:rPr>
                <w:rFonts w:hint="eastAsia" w:ascii="宋体" w:hAnsi="宋体" w:eastAsia="宋体" w:cs="宋体"/>
                <w:sz w:val="24"/>
                <w:szCs w:val="24"/>
                <w:lang w:val="en-US" w:eastAsia="zh-CN"/>
              </w:rPr>
              <w:t>，15m高排气筒、1个活性炭吸附箱及风机放置在</w:t>
            </w:r>
            <w:r>
              <w:rPr>
                <w:rFonts w:hint="eastAsia" w:ascii="宋体" w:hAnsi="宋体" w:cs="宋体"/>
                <w:sz w:val="24"/>
                <w:szCs w:val="24"/>
                <w:lang w:val="en-US" w:eastAsia="zh-CN"/>
              </w:rPr>
              <w:t>生产车间西南</w:t>
            </w:r>
            <w:r>
              <w:rPr>
                <w:rFonts w:hint="eastAsia" w:ascii="宋体" w:hAnsi="宋体" w:eastAsia="宋体" w:cs="宋体"/>
                <w:sz w:val="24"/>
                <w:szCs w:val="24"/>
                <w:lang w:val="en-US" w:eastAsia="zh-CN"/>
              </w:rPr>
              <w:t>角，危废间位于</w:t>
            </w:r>
            <w:r>
              <w:rPr>
                <w:rFonts w:hint="eastAsia" w:ascii="宋体" w:hAnsi="宋体" w:cs="宋体"/>
                <w:sz w:val="24"/>
                <w:szCs w:val="24"/>
                <w:lang w:val="en-US" w:eastAsia="zh-CN"/>
              </w:rPr>
              <w:t>厂区最北侧</w:t>
            </w:r>
            <w:r>
              <w:rPr>
                <w:rFonts w:hint="eastAsia" w:ascii="宋体" w:hAnsi="宋体" w:eastAsia="宋体" w:cs="宋体"/>
                <w:sz w:val="24"/>
                <w:szCs w:val="24"/>
                <w:lang w:val="en-US" w:eastAsia="zh-CN"/>
              </w:rPr>
              <w:t>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0"/>
                <w:szCs w:val="22"/>
                <w:lang w:val="en-US" w:eastAsia="zh-CN"/>
              </w:rPr>
            </w:pPr>
            <w:r>
              <w:rPr>
                <w:rFonts w:hint="eastAsia" w:ascii="宋体" w:hAnsi="宋体" w:eastAsia="宋体" w:cs="宋体"/>
                <w:sz w:val="24"/>
                <w:szCs w:val="24"/>
                <w:lang w:val="en-US" w:eastAsia="zh-CN"/>
              </w:rPr>
              <w:t>本</w:t>
            </w:r>
            <w:r>
              <w:rPr>
                <w:rFonts w:hint="eastAsia" w:ascii="宋体" w:hAnsi="宋体" w:eastAsia="宋体" w:cs="宋体"/>
                <w:sz w:val="24"/>
                <w:szCs w:val="24"/>
              </w:rPr>
              <w:t>项目生产工艺流程简单，</w:t>
            </w:r>
            <w:r>
              <w:rPr>
                <w:rFonts w:hint="eastAsia" w:ascii="宋体" w:hAnsi="宋体" w:eastAsia="宋体" w:cs="宋体"/>
                <w:color w:val="auto"/>
                <w:sz w:val="24"/>
                <w:szCs w:val="24"/>
                <w:lang w:val="en-US" w:eastAsia="zh-CN"/>
              </w:rPr>
              <w:t>生产工序产生少量颗粒物，在成品出口处排放少量VOCs，采取措施后能够满足国家及地方的</w:t>
            </w:r>
            <w:r>
              <w:rPr>
                <w:rFonts w:hint="eastAsia" w:ascii="宋体" w:hAnsi="宋体" w:cs="宋体"/>
                <w:color w:val="auto"/>
                <w:sz w:val="24"/>
                <w:szCs w:val="24"/>
                <w:lang w:val="en-US" w:eastAsia="zh-CN"/>
              </w:rPr>
              <w:t>规定。</w:t>
            </w:r>
            <w:r>
              <w:rPr>
                <w:rFonts w:hint="eastAsia" w:ascii="宋体" w:hAnsi="宋体" w:eastAsia="宋体" w:cs="宋体"/>
                <w:color w:val="auto"/>
                <w:sz w:val="24"/>
                <w:szCs w:val="24"/>
                <w:lang w:val="en-US" w:eastAsia="zh-CN"/>
              </w:rPr>
              <w:t>生产车间的</w:t>
            </w:r>
            <w:r>
              <w:rPr>
                <w:rFonts w:hint="eastAsia" w:ascii="宋体" w:hAnsi="宋体" w:eastAsia="宋体" w:cs="宋体"/>
                <w:color w:val="auto"/>
                <w:sz w:val="24"/>
                <w:szCs w:val="24"/>
              </w:rPr>
              <w:t>所</w:t>
            </w:r>
            <w:r>
              <w:rPr>
                <w:rFonts w:hint="eastAsia" w:ascii="宋体" w:hAnsi="宋体" w:eastAsia="宋体" w:cs="宋体"/>
                <w:sz w:val="24"/>
                <w:szCs w:val="24"/>
              </w:rPr>
              <w:t>有设备按生产工艺流程布局，在满足安全生产的前提下，按生产需求对不同功能区进行分区和组合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牡丹江地区的主导风向为西北风，生产车间的排风口位于东南角，厂区的下风向</w:t>
            </w:r>
            <w:r>
              <w:rPr>
                <w:rFonts w:hint="eastAsia" w:ascii="宋体" w:hAnsi="宋体" w:cs="宋体"/>
                <w:sz w:val="24"/>
                <w:szCs w:val="24"/>
                <w:lang w:val="en-US" w:eastAsia="zh-CN"/>
              </w:rPr>
              <w:t>一片空地，隔空地有少量居民住宅。因此，</w:t>
            </w:r>
            <w:r>
              <w:rPr>
                <w:rFonts w:hint="eastAsia" w:ascii="宋体" w:hAnsi="宋体" w:eastAsia="宋体" w:cs="宋体"/>
                <w:sz w:val="24"/>
                <w:szCs w:val="24"/>
                <w:lang w:eastAsia="zh-CN"/>
              </w:rPr>
              <w:t>本项目</w:t>
            </w:r>
            <w:r>
              <w:rPr>
                <w:rFonts w:hint="eastAsia" w:ascii="宋体" w:hAnsi="宋体" w:eastAsia="宋体" w:cs="宋体"/>
                <w:sz w:val="24"/>
                <w:szCs w:val="24"/>
                <w:lang w:val="en-US" w:eastAsia="zh-CN"/>
              </w:rPr>
              <w:t>生产车间的</w:t>
            </w:r>
            <w:r>
              <w:rPr>
                <w:rFonts w:hint="eastAsia" w:ascii="宋体" w:hAnsi="宋体" w:eastAsia="宋体" w:cs="宋体"/>
                <w:sz w:val="24"/>
                <w:szCs w:val="24"/>
                <w:lang w:eastAsia="zh-CN"/>
              </w:rPr>
              <w:t>平面布</w:t>
            </w:r>
            <w:r>
              <w:rPr>
                <w:rFonts w:hint="default" w:ascii="Times New Roman" w:hAnsi="Times New Roman" w:eastAsia="宋体" w:cs="Times New Roman"/>
                <w:sz w:val="24"/>
                <w:szCs w:val="24"/>
                <w:lang w:eastAsia="zh-CN"/>
              </w:rPr>
              <w:t>置合理。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8</w:t>
            </w:r>
            <w:r>
              <w:rPr>
                <w:rFonts w:hint="default" w:ascii="Times New Roman" w:hAnsi="Times New Roman" w:eastAsia="宋体" w:cs="Times New Roman"/>
                <w:b/>
                <w:bCs/>
                <w:sz w:val="24"/>
                <w:szCs w:val="24"/>
                <w:lang w:val="en-US" w:eastAsia="zh-CN"/>
              </w:rPr>
              <w:t>、环保工程</w:t>
            </w:r>
          </w:p>
          <w:p>
            <w:pPr>
              <w:pStyle w:val="3"/>
              <w:keepNext w:val="0"/>
              <w:keepLines w:val="0"/>
              <w:pageBreakBefore w:val="0"/>
              <w:widowControl/>
              <w:suppressLineNumbers w:val="0"/>
              <w:tabs>
                <w:tab w:val="left" w:pos="7599"/>
              </w:tabs>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zh-CN"/>
              </w:rPr>
            </w:pPr>
            <w:r>
              <w:rPr>
                <w:rFonts w:hint="default" w:ascii="Times New Roman" w:hAnsi="Times New Roman" w:eastAsia="宋体" w:cs="Times New Roman"/>
                <w:sz w:val="24"/>
                <w:szCs w:val="24"/>
                <w:lang w:val="en-US" w:eastAsia="zh-CN"/>
              </w:rPr>
              <w:t>项目单位总</w:t>
            </w:r>
            <w:r>
              <w:rPr>
                <w:rFonts w:hint="default" w:ascii="Times New Roman" w:hAnsi="Times New Roman" w:eastAsia="宋体" w:cs="Times New Roman"/>
                <w:b w:val="0"/>
                <w:bCs w:val="0"/>
                <w:color w:val="auto"/>
                <w:kern w:val="2"/>
                <w:sz w:val="24"/>
                <w:szCs w:val="24"/>
                <w:lang w:val="zh-CN" w:eastAsia="zh-CN" w:bidi="zh-CN"/>
              </w:rPr>
              <w:t>投资</w:t>
            </w:r>
            <w:r>
              <w:rPr>
                <w:rFonts w:hint="default" w:ascii="Times New Roman" w:hAnsi="Times New Roman" w:cs="Times New Roman"/>
                <w:b w:val="0"/>
                <w:bCs w:val="0"/>
                <w:color w:val="auto"/>
                <w:kern w:val="2"/>
                <w:sz w:val="24"/>
                <w:szCs w:val="24"/>
                <w:lang w:val="en-US" w:eastAsia="zh-CN" w:bidi="zh-CN"/>
              </w:rPr>
              <w:t>2</w:t>
            </w:r>
            <w:r>
              <w:rPr>
                <w:rFonts w:hint="default" w:ascii="Times New Roman" w:hAnsi="Times New Roman" w:eastAsia="宋体" w:cs="Times New Roman"/>
                <w:b w:val="0"/>
                <w:bCs w:val="0"/>
                <w:color w:val="auto"/>
                <w:kern w:val="2"/>
                <w:sz w:val="24"/>
                <w:szCs w:val="24"/>
                <w:lang w:val="en-US" w:eastAsia="zh-CN" w:bidi="zh-CN"/>
              </w:rPr>
              <w:t>00</w:t>
            </w:r>
            <w:r>
              <w:rPr>
                <w:rFonts w:hint="default" w:ascii="Times New Roman" w:hAnsi="Times New Roman" w:eastAsia="宋体" w:cs="Times New Roman"/>
                <w:b w:val="0"/>
                <w:bCs w:val="0"/>
                <w:color w:val="auto"/>
                <w:kern w:val="2"/>
                <w:sz w:val="24"/>
                <w:szCs w:val="24"/>
                <w:lang w:val="zh-CN" w:eastAsia="zh-CN" w:bidi="zh-CN"/>
              </w:rPr>
              <w:t>万元，环保投资</w:t>
            </w:r>
            <w:r>
              <w:rPr>
                <w:rFonts w:hint="default" w:ascii="Times New Roman" w:hAnsi="Times New Roman" w:eastAsia="宋体" w:cs="Times New Roman"/>
                <w:b w:val="0"/>
                <w:bCs w:val="0"/>
                <w:color w:val="auto"/>
                <w:kern w:val="2"/>
                <w:sz w:val="24"/>
                <w:szCs w:val="24"/>
                <w:lang w:val="en-US" w:eastAsia="zh-CN" w:bidi="zh-CN"/>
              </w:rPr>
              <w:t>12</w:t>
            </w:r>
            <w:r>
              <w:rPr>
                <w:rFonts w:hint="default" w:ascii="Times New Roman" w:hAnsi="Times New Roman" w:cs="Times New Roman"/>
                <w:b w:val="0"/>
                <w:bCs w:val="0"/>
                <w:color w:val="auto"/>
                <w:kern w:val="2"/>
                <w:sz w:val="24"/>
                <w:szCs w:val="24"/>
                <w:lang w:val="en-US" w:eastAsia="zh-CN" w:bidi="zh-CN"/>
              </w:rPr>
              <w:t>.5</w:t>
            </w:r>
            <w:r>
              <w:rPr>
                <w:rFonts w:hint="default" w:ascii="Times New Roman" w:hAnsi="Times New Roman" w:eastAsia="宋体" w:cs="Times New Roman"/>
                <w:b w:val="0"/>
                <w:bCs w:val="0"/>
                <w:color w:val="auto"/>
                <w:kern w:val="2"/>
                <w:sz w:val="24"/>
                <w:szCs w:val="24"/>
                <w:lang w:val="zh-CN" w:eastAsia="zh-CN" w:bidi="zh-CN"/>
              </w:rPr>
              <w:t>万元，环保总投资占项目总投资的</w:t>
            </w:r>
            <w:r>
              <w:rPr>
                <w:rFonts w:hint="default" w:ascii="Times New Roman" w:hAnsi="Times New Roman" w:cs="Times New Roman"/>
                <w:b w:val="0"/>
                <w:bCs w:val="0"/>
                <w:color w:val="auto"/>
                <w:kern w:val="2"/>
                <w:sz w:val="24"/>
                <w:szCs w:val="24"/>
                <w:lang w:val="en-US" w:eastAsia="zh-CN" w:bidi="zh-CN"/>
              </w:rPr>
              <w:t>6.25</w:t>
            </w:r>
            <w:r>
              <w:rPr>
                <w:rFonts w:hint="default" w:ascii="Times New Roman" w:hAnsi="Times New Roman" w:eastAsia="宋体" w:cs="Times New Roman"/>
                <w:b w:val="0"/>
                <w:bCs w:val="0"/>
                <w:color w:val="auto"/>
                <w:kern w:val="2"/>
                <w:sz w:val="24"/>
                <w:szCs w:val="24"/>
                <w:lang w:val="zh-CN" w:eastAsia="zh-CN" w:bidi="zh-CN"/>
              </w:rPr>
              <w:t>%。环保投资详见</w:t>
            </w:r>
            <w:r>
              <w:rPr>
                <w:rFonts w:hint="default" w:ascii="Times New Roman" w:hAnsi="Times New Roman" w:eastAsia="宋体" w:cs="Times New Roman"/>
                <w:b w:val="0"/>
                <w:bCs w:val="0"/>
                <w:color w:val="auto"/>
                <w:kern w:val="2"/>
                <w:sz w:val="24"/>
                <w:szCs w:val="24"/>
                <w:lang w:val="en-US" w:eastAsia="zh-CN" w:bidi="zh-CN"/>
              </w:rPr>
              <w:t>下表：</w:t>
            </w:r>
          </w:p>
          <w:p>
            <w:pPr>
              <w:pStyle w:val="3"/>
              <w:keepNext w:val="0"/>
              <w:keepLines w:val="0"/>
              <w:pageBreakBefore w:val="0"/>
              <w:widowControl/>
              <w:suppressLineNumbers w:val="0"/>
              <w:tabs>
                <w:tab w:val="left" w:pos="7599"/>
              </w:tabs>
              <w:kinsoku/>
              <w:wordWrap/>
              <w:overflowPunct/>
              <w:topLinePunct w:val="0"/>
              <w:autoSpaceDE/>
              <w:autoSpaceDN/>
              <w:bidi w:val="0"/>
              <w:adjustRightInd/>
              <w:snapToGrid w:val="0"/>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kern w:val="2"/>
                <w:sz w:val="24"/>
                <w:szCs w:val="24"/>
                <w:lang w:val="en-US" w:eastAsia="zh-CN" w:bidi="zh-CN"/>
              </w:rPr>
            </w:pPr>
            <w:r>
              <w:rPr>
                <w:rFonts w:hint="default" w:ascii="Times New Roman" w:hAnsi="Times New Roman" w:eastAsia="宋体" w:cs="Times New Roman"/>
                <w:b/>
                <w:bCs/>
                <w:color w:val="auto"/>
                <w:kern w:val="2"/>
                <w:sz w:val="24"/>
                <w:szCs w:val="24"/>
                <w:lang w:val="en-US" w:eastAsia="zh-CN" w:bidi="zh-CN"/>
              </w:rPr>
              <w:t>表2-4 环保工程投资一览表</w:t>
            </w:r>
          </w:p>
          <w:tbl>
            <w:tblPr>
              <w:tblStyle w:val="22"/>
              <w:tblW w:w="83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5732"/>
              <w:gridCol w:w="1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治理项目</w:t>
                  </w:r>
                </w:p>
              </w:tc>
              <w:tc>
                <w:tcPr>
                  <w:tcW w:w="5732"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治理措施</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5732"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集气罩+风机+活性炭箱+15m高排气筒</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5732" w:type="dxa"/>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垃圾收集箱</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防渗</w:t>
                  </w:r>
                </w:p>
              </w:tc>
              <w:tc>
                <w:tcPr>
                  <w:tcW w:w="5732"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highlight w:val="none"/>
                      <w:lang w:val="en-US" w:eastAsia="zh-CN"/>
                    </w:rPr>
                    <w:t>厂区地面水泥硬化处理</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危废间</w:t>
                  </w:r>
                </w:p>
              </w:tc>
              <w:tc>
                <w:tcPr>
                  <w:tcW w:w="5732"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新建1个5m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的危废间，地面防渗处理</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运营维护费用</w:t>
                  </w:r>
                </w:p>
              </w:tc>
              <w:tc>
                <w:tcPr>
                  <w:tcW w:w="5732"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环保设施运行维护费用</w:t>
                  </w:r>
                </w:p>
              </w:tc>
              <w:tc>
                <w:tcPr>
                  <w:tcW w:w="1100"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w:t>
                  </w:r>
                </w:p>
              </w:tc>
              <w:tc>
                <w:tcPr>
                  <w:tcW w:w="6832" w:type="dxa"/>
                  <w:gridSpan w:val="2"/>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总投资</w:t>
                  </w:r>
                </w:p>
              </w:tc>
              <w:tc>
                <w:tcPr>
                  <w:tcW w:w="6832" w:type="dxa"/>
                  <w:gridSpan w:val="2"/>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63" w:type="dxa"/>
                  <w:tcBorders>
                    <w:tl2br w:val="nil"/>
                    <w:tr2bl w:val="nil"/>
                  </w:tcBorders>
                  <w:vAlign w:val="center"/>
                </w:tcPr>
                <w:p>
                  <w:pPr>
                    <w:pStyle w:val="47"/>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环保投资比</w:t>
                  </w:r>
                </w:p>
              </w:tc>
              <w:tc>
                <w:tcPr>
                  <w:tcW w:w="683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center"/>
                    <w:rPr>
                      <w:rFonts w:hint="default" w:ascii="Times New Roman" w:hAnsi="Times New Roman" w:eastAsia="宋体" w:cs="Times New Roman"/>
                      <w:sz w:val="21"/>
                      <w:szCs w:val="21"/>
                    </w:rPr>
                  </w:pPr>
                  <w:r>
                    <w:rPr>
                      <w:rFonts w:hint="eastAsia" w:ascii="Times New Roman" w:hAnsi="Times New Roman" w:cs="Times New Roman"/>
                      <w:kern w:val="0"/>
                      <w:sz w:val="21"/>
                      <w:szCs w:val="21"/>
                      <w:lang w:val="en-US" w:eastAsia="zh-CN"/>
                    </w:rPr>
                    <w:t>6.25</w:t>
                  </w:r>
                  <w:r>
                    <w:rPr>
                      <w:rFonts w:hint="default" w:ascii="Times New Roman" w:hAnsi="Times New Roman" w:eastAsia="宋体" w:cs="Times New Roman"/>
                      <w:kern w:val="0"/>
                      <w:sz w:val="21"/>
                      <w:szCs w:val="21"/>
                    </w:rPr>
                    <w:t>%</w:t>
                  </w:r>
                </w:p>
              </w:tc>
            </w:tr>
          </w:tbl>
          <w:p>
            <w:pPr>
              <w:keepNext w:val="0"/>
              <w:keepLines w:val="0"/>
              <w:suppressLineNumbers w:val="0"/>
              <w:tabs>
                <w:tab w:val="left" w:pos="2213"/>
              </w:tabs>
              <w:bidi w:val="0"/>
              <w:spacing w:before="0" w:beforeAutospacing="0" w:after="0" w:afterAutospacing="0"/>
              <w:ind w:left="0" w:right="0"/>
              <w:jc w:val="left"/>
              <w:rPr>
                <w:rFonts w:hint="eastAsia" w:ascii="宋体" w:hAnsi="宋体" w:eastAsia="宋体" w:cs="宋体"/>
                <w:sz w:val="20"/>
                <w:szCs w:val="22"/>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9" w:type="dxa"/>
            <w:vAlign w:val="center"/>
          </w:tcPr>
          <w:p>
            <w:pPr>
              <w:pStyle w:val="18"/>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工艺流程和产排污环节</w:t>
            </w:r>
          </w:p>
        </w:tc>
        <w:tc>
          <w:tcPr>
            <w:tcW w:w="8611"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textAlignment w:val="auto"/>
              <w:rPr>
                <w:rFonts w:hint="default"/>
                <w:lang w:val="en-US" w:eastAsia="zh-CN"/>
              </w:rPr>
            </w:pPr>
            <w:r>
              <w:rPr>
                <w:rFonts w:hint="default"/>
                <w:lang w:val="en-US" w:eastAsia="zh-CN"/>
              </w:rPr>
              <w:t>一、施工期</w:t>
            </w:r>
          </w:p>
          <w:p>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lang w:val="en-US" w:eastAsia="zh-CN"/>
              </w:rPr>
            </w:pPr>
            <w:r>
              <w:rPr>
                <w:rFonts w:hint="default"/>
                <w:lang w:val="en-US" w:eastAsia="zh-CN"/>
              </w:rPr>
              <w:t>本项目施工期的主要内容包括：生产车间放置生产设备及其配套设备</w:t>
            </w:r>
            <w:r>
              <w:rPr>
                <w:rFonts w:hint="eastAsia"/>
                <w:lang w:val="en-US" w:eastAsia="zh-CN"/>
              </w:rPr>
              <w:t>、办公室改造、</w:t>
            </w:r>
            <w:r>
              <w:rPr>
                <w:rFonts w:hint="default"/>
                <w:lang w:val="en-US" w:eastAsia="zh-CN"/>
              </w:rPr>
              <w:t>修建环保设施</w:t>
            </w:r>
            <w:r>
              <w:rPr>
                <w:rFonts w:hint="eastAsia"/>
                <w:lang w:val="en-US" w:eastAsia="zh-CN"/>
              </w:rPr>
              <w:t>等</w:t>
            </w:r>
            <w:r>
              <w:rPr>
                <w:rFonts w:hint="default"/>
                <w:lang w:val="en-US" w:eastAsia="zh-CN"/>
              </w:rPr>
              <w:t>。本项目施工期的施工人员为10人，施工期202</w:t>
            </w:r>
            <w:r>
              <w:rPr>
                <w:rFonts w:hint="eastAsia"/>
                <w:lang w:val="en-US" w:eastAsia="zh-CN"/>
              </w:rPr>
              <w:t>3</w:t>
            </w:r>
            <w:r>
              <w:rPr>
                <w:rFonts w:hint="default"/>
                <w:lang w:val="en-US" w:eastAsia="zh-CN"/>
              </w:rPr>
              <w:t>年</w:t>
            </w:r>
            <w:r>
              <w:rPr>
                <w:rFonts w:hint="eastAsia"/>
                <w:lang w:val="en-US" w:eastAsia="zh-CN"/>
              </w:rPr>
              <w:t>2</w:t>
            </w:r>
            <w:r>
              <w:rPr>
                <w:rFonts w:hint="default"/>
                <w:lang w:val="en-US" w:eastAsia="zh-CN"/>
              </w:rPr>
              <w:t>月-</w:t>
            </w:r>
            <w:r>
              <w:rPr>
                <w:rFonts w:hint="eastAsia"/>
                <w:lang w:val="en-US" w:eastAsia="zh-CN"/>
              </w:rPr>
              <w:t>3</w:t>
            </w:r>
            <w:r>
              <w:rPr>
                <w:rFonts w:hint="default"/>
                <w:lang w:val="en-US" w:eastAsia="zh-CN"/>
              </w:rPr>
              <w:t>月，施工时间约</w:t>
            </w:r>
            <w:r>
              <w:rPr>
                <w:rFonts w:hint="eastAsia"/>
                <w:lang w:val="en-US" w:eastAsia="zh-CN"/>
              </w:rPr>
              <w:t>2</w:t>
            </w:r>
            <w:r>
              <w:rPr>
                <w:rFonts w:hint="default"/>
                <w:lang w:val="en-US" w:eastAsia="zh-CN"/>
              </w:rPr>
              <w:t>0天。施工期间产生的环境影响主要包括施工期的生活污水和生活垃圾、建筑工地扬尘、运输车辆的噪声和废气等。</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1、废水</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施工期的废水主要来自于建筑施工废水和施工人员的生活污水(包括粪便污水、清洗污水等)；施工废水主要来自建筑用水、工具冲洗水、地面冲洗水等。</w:t>
            </w:r>
          </w:p>
          <w:p>
            <w:pPr>
              <w:pStyle w:val="16"/>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施工期的废气污染物包括施工机械设备产生的废气、施工建筑材料（砖、水泥等）的装卸、运输、堆砌过程中产生的扬尘。</w:t>
            </w:r>
          </w:p>
          <w:p>
            <w:pPr>
              <w:pStyle w:val="16"/>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施工期的噪声主要是运输车辆噪声和房屋建筑和装修过程产生的施工噪声。</w:t>
            </w:r>
          </w:p>
          <w:p>
            <w:pPr>
              <w:pStyle w:val="16"/>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施工期的固体废物包括建筑工人的生活垃圾和建筑垃圾等。</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二、运营期</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210" w:leftChars="0" w:right="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1、生产工艺流程图</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210" w:leftChars="0" w:right="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rPr>
              <w:drawing>
                <wp:inline distT="0" distB="0" distL="114300" distR="114300">
                  <wp:extent cx="0" cy="0"/>
                  <wp:effectExtent l="0" t="0" r="0" b="0"/>
                  <wp:docPr id="3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pic:cNvPicPr>
                            <a:picLocks noChangeAspect="1"/>
                          </pic:cNvPicPr>
                        </pic:nvPicPr>
                        <pic:blipFill>
                          <a:blip r:embed="rId10"/>
                          <a:stretch>
                            <a:fillRect/>
                          </a:stretch>
                        </pic:blipFill>
                        <pic:spPr>
                          <a:xfrm>
                            <a:off x="0" y="0"/>
                            <a:ext cx="0" cy="0"/>
                          </a:xfrm>
                          <a:prstGeom prst="rect">
                            <a:avLst/>
                          </a:prstGeom>
                          <a:noFill/>
                          <a:ln>
                            <a:noFill/>
                          </a:ln>
                        </pic:spPr>
                      </pic:pic>
                    </a:graphicData>
                  </a:graphic>
                </wp:inline>
              </w:drawing>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210" w:leftChars="0" w:right="0"/>
              <w:jc w:val="center"/>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图2-3 本项目工艺流程图</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210" w:leftChars="0" w:right="0"/>
              <w:textAlignment w:val="auto"/>
              <w:rPr>
                <w:rFonts w:hint="eastAsia"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val="en-US" w:eastAsia="zh-CN"/>
              </w:rPr>
              <w:t>2、</w:t>
            </w:r>
            <w:r>
              <w:rPr>
                <w:rFonts w:hint="eastAsia" w:ascii="Times New Roman" w:hAnsi="Times New Roman" w:eastAsia="宋体" w:cs="Times New Roman"/>
                <w:b w:val="0"/>
                <w:bCs/>
                <w:color w:val="auto"/>
                <w:sz w:val="24"/>
                <w:lang w:eastAsia="zh-CN"/>
              </w:rPr>
              <w:t>工艺流程</w:t>
            </w:r>
            <w:r>
              <w:rPr>
                <w:rFonts w:hint="eastAsia" w:ascii="Times New Roman" w:hAnsi="Times New Roman" w:eastAsia="宋体" w:cs="Times New Roman"/>
                <w:b w:val="0"/>
                <w:bCs/>
                <w:color w:val="auto"/>
                <w:sz w:val="24"/>
                <w:lang w:val="en-US" w:eastAsia="zh-CN"/>
              </w:rPr>
              <w:t>及产污环节说明</w:t>
            </w:r>
            <w:r>
              <w:rPr>
                <w:rFonts w:hint="eastAsia" w:ascii="Times New Roman" w:hAnsi="Times New Roman" w:eastAsia="宋体" w:cs="Times New Roman"/>
                <w:b w:val="0"/>
                <w:bCs/>
                <w:color w:val="auto"/>
                <w:sz w:val="24"/>
                <w:lang w:eastAsia="zh-CN"/>
              </w:rPr>
              <w:t>：</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(1)投料</w:t>
            </w:r>
            <w:r>
              <w:rPr>
                <w:rFonts w:hint="eastAsia"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本项目使用原料为外购的非再生塑料颗粒（聚丙烯颗粒），原料为塑编袋包装，利用投料机进行投料，投料机为密闭装置，因此投料工序基本不产生粉尘颗粒物。原料拆包后产生废包装袋，外售给废品回收站。机器运行时有设备噪声。</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lang w:val="en-US"/>
              </w:rPr>
            </w:pPr>
            <w:r>
              <w:rPr>
                <w:rFonts w:hint="eastAsia" w:ascii="Times New Roman" w:hAnsi="Times New Roman" w:eastAsia="宋体" w:cs="Times New Roman"/>
                <w:b w:val="0"/>
                <w:bCs/>
                <w:color w:val="auto"/>
                <w:sz w:val="24"/>
                <w:lang w:val="en-US" w:eastAsia="zh-CN"/>
              </w:rPr>
              <w:t>(2)</w:t>
            </w:r>
            <w:r>
              <w:rPr>
                <w:rFonts w:hint="eastAsia" w:ascii="Times New Roman" w:hAnsi="Times New Roman" w:eastAsia="宋体" w:cs="Times New Roman"/>
                <w:b w:val="0"/>
                <w:bCs/>
                <w:color w:val="auto"/>
                <w:sz w:val="24"/>
              </w:rPr>
              <w:t>注塑：</w:t>
            </w:r>
            <w:r>
              <w:rPr>
                <w:rFonts w:hint="eastAsia" w:ascii="Times New Roman" w:hAnsi="Times New Roman" w:eastAsia="宋体" w:cs="Times New Roman"/>
                <w:b w:val="0"/>
                <w:bCs/>
                <w:color w:val="auto"/>
                <w:sz w:val="24"/>
                <w:lang w:val="en-US" w:eastAsia="zh-CN"/>
              </w:rPr>
              <w:t>塑料颗粒及色母粒经投料机投入一体化注塑机中，在注塑机中经过狭长的热熔管融化成液状后注入模具中，冷取成型后取出。注塑机的热熔管温度在200℃左右，聚丙烯塑料颗粒的碳化温度为300℃以上，因此本项目基本没有碳化的问题。成品出口处有少量VOCs排出。机器运行时有设备噪声。处理废气产生废活性炭。</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(3)</w:t>
            </w:r>
            <w:r>
              <w:rPr>
                <w:rFonts w:hint="eastAsia" w:ascii="Times New Roman" w:hAnsi="Times New Roman" w:eastAsia="宋体" w:cs="Times New Roman"/>
                <w:b w:val="0"/>
                <w:bCs/>
                <w:color w:val="auto"/>
                <w:sz w:val="24"/>
              </w:rPr>
              <w:t>冷却：利用</w:t>
            </w:r>
            <w:r>
              <w:rPr>
                <w:rFonts w:hint="eastAsia" w:ascii="Times New Roman" w:hAnsi="Times New Roman" w:eastAsia="宋体" w:cs="Times New Roman"/>
                <w:b w:val="0"/>
                <w:bCs/>
                <w:color w:val="auto"/>
                <w:sz w:val="24"/>
                <w:lang w:val="en-US" w:eastAsia="zh-CN"/>
              </w:rPr>
              <w:t>循环水进行冷却，循环</w:t>
            </w:r>
            <w:r>
              <w:rPr>
                <w:rFonts w:hint="default" w:ascii="Times New Roman" w:hAnsi="Times New Roman" w:eastAsia="宋体" w:cs="Times New Roman"/>
                <w:b w:val="0"/>
                <w:bCs/>
                <w:color w:val="auto"/>
                <w:sz w:val="24"/>
                <w:lang w:val="en-US" w:eastAsia="zh-CN"/>
              </w:rPr>
              <w:t>水池容积为3.6m</w:t>
            </w:r>
            <w:r>
              <w:rPr>
                <w:rFonts w:hint="default" w:ascii="Times New Roman" w:hAnsi="Times New Roman" w:eastAsia="宋体" w:cs="Times New Roman"/>
                <w:b w:val="0"/>
                <w:bCs/>
                <w:color w:val="auto"/>
                <w:sz w:val="24"/>
                <w:vertAlign w:val="superscript"/>
                <w:lang w:val="en-US" w:eastAsia="zh-CN"/>
              </w:rPr>
              <w:t>3</w:t>
            </w:r>
            <w:r>
              <w:rPr>
                <w:rFonts w:hint="default" w:ascii="Times New Roman" w:hAnsi="Times New Roman" w:eastAsia="宋体" w:cs="Times New Roman"/>
                <w:b w:val="0"/>
                <w:bCs/>
                <w:color w:val="auto"/>
                <w:sz w:val="24"/>
                <w:lang w:val="en-US" w:eastAsia="zh-CN"/>
              </w:rPr>
              <w:t>，日常存水量为3.5m</w:t>
            </w:r>
            <w:r>
              <w:rPr>
                <w:rFonts w:hint="default" w:ascii="Times New Roman" w:hAnsi="Times New Roman" w:eastAsia="宋体" w:cs="Times New Roman"/>
                <w:b w:val="0"/>
                <w:bCs/>
                <w:color w:val="auto"/>
                <w:sz w:val="24"/>
                <w:vertAlign w:val="superscript"/>
                <w:lang w:val="en-US" w:eastAsia="zh-CN"/>
              </w:rPr>
              <w:t>3</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根据项目单位提供的资料，每次补给水为2t，可以用7天，用水在管道及水池内循环，不外排。循环水不添加药剂，由专业单位每年上门清理一次，冷却废水属于清净水，每年冬季停产的时厂区内进行大扫除，冷却废水用于厂房及厂区内洒水降尘，再生产时重新加满。冷却循环系统机器运行时有设备噪声</w:t>
            </w:r>
            <w:r>
              <w:rPr>
                <w:rFonts w:hint="eastAsia" w:ascii="Times New Roman" w:hAnsi="Times New Roman" w:eastAsia="宋体" w:cs="Times New Roman"/>
                <w:b w:val="0"/>
                <w:bCs/>
                <w:color w:val="auto"/>
                <w:sz w:val="24"/>
                <w:lang w:eastAsia="zh-CN"/>
              </w:rPr>
              <w:t>。</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(4)破碎：</w:t>
            </w:r>
            <w:r>
              <w:rPr>
                <w:rFonts w:hint="default" w:ascii="Times New Roman" w:hAnsi="Times New Roman" w:eastAsia="宋体" w:cs="Times New Roman"/>
                <w:b w:val="0"/>
                <w:bCs/>
                <w:color w:val="auto"/>
                <w:sz w:val="24"/>
              </w:rPr>
              <w:t>产品生产完成后，使用人工对产品进行修整，同时进行外观检验</w:t>
            </w:r>
            <w:r>
              <w:rPr>
                <w:rFonts w:hint="default" w:ascii="Times New Roman" w:hAnsi="Times New Roman" w:eastAsia="宋体" w:cs="Times New Roman"/>
                <w:b w:val="0"/>
                <w:bCs/>
                <w:color w:val="auto"/>
                <w:sz w:val="24"/>
                <w:lang w:eastAsia="zh-CN"/>
              </w:rPr>
              <w:t>，修整过程中产生的边角料与注塑过程中产生的边角料</w:t>
            </w:r>
            <w:r>
              <w:rPr>
                <w:rFonts w:hint="eastAsia" w:ascii="Times New Roman" w:hAnsi="Times New Roman" w:eastAsia="宋体" w:cs="Times New Roman"/>
                <w:b w:val="0"/>
                <w:bCs/>
                <w:color w:val="auto"/>
                <w:sz w:val="24"/>
                <w:lang w:val="en-US" w:eastAsia="zh-CN"/>
              </w:rPr>
              <w:t>及生产过程会产生少量不合格产品，破碎后碎料均可投入机器重新利用，破碎时会有少量粉尘产生，鉴于残次品及边角料产生量少，塑料均可回用于生产，因此破碎产生的粉尘量很少，本环评不做量化分析。</w:t>
            </w:r>
            <w:r>
              <w:rPr>
                <w:rFonts w:hint="eastAsia" w:ascii="Times New Roman" w:hAnsi="Times New Roman" w:eastAsia="宋体" w:cs="Times New Roman"/>
                <w:b w:val="0"/>
                <w:bCs/>
                <w:color w:val="auto"/>
                <w:sz w:val="24"/>
              </w:rPr>
              <w:t xml:space="preserve">  </w:t>
            </w:r>
          </w:p>
          <w:p>
            <w:pPr>
              <w:pStyle w:val="4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210" w:leftChars="0" w:right="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塑料</w:t>
            </w:r>
            <w:r>
              <w:rPr>
                <w:rFonts w:hint="eastAsia" w:ascii="Times New Roman" w:hAnsi="Times New Roman" w:eastAsia="宋体" w:cs="Times New Roman"/>
                <w:b w:val="0"/>
                <w:bCs/>
                <w:color w:val="auto"/>
                <w:sz w:val="24"/>
                <w:lang w:eastAsia="zh-CN"/>
              </w:rPr>
              <w:t>筐</w:t>
            </w:r>
            <w:r>
              <w:rPr>
                <w:rFonts w:hint="default" w:ascii="Times New Roman" w:hAnsi="Times New Roman" w:eastAsia="宋体" w:cs="Times New Roman"/>
                <w:b w:val="0"/>
                <w:bCs/>
                <w:color w:val="auto"/>
                <w:sz w:val="24"/>
              </w:rPr>
              <w:t>生产过程中污染物产生环节见表2</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rPr>
              <w:t>。</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val="0"/>
                <w:sz w:val="24"/>
              </w:rPr>
            </w:pPr>
            <w:r>
              <w:rPr>
                <w:rFonts w:hint="default" w:ascii="Times New Roman" w:hAnsi="Times New Roman" w:eastAsia="宋体" w:cs="Times New Roman"/>
                <w:b/>
                <w:bCs w:val="0"/>
                <w:sz w:val="24"/>
              </w:rPr>
              <w:t>表2</w:t>
            </w:r>
            <w:r>
              <w:rPr>
                <w:rFonts w:hint="eastAsia" w:ascii="Times New Roman" w:hAnsi="Times New Roman" w:eastAsia="宋体" w:cs="Times New Roman"/>
                <w:b/>
                <w:bCs w:val="0"/>
                <w:sz w:val="24"/>
                <w:lang w:val="en-US" w:eastAsia="zh-CN"/>
              </w:rPr>
              <w:t>-5塑料</w:t>
            </w:r>
            <w:r>
              <w:rPr>
                <w:rFonts w:hint="eastAsia" w:ascii="Times New Roman" w:hAnsi="Times New Roman" w:eastAsia="宋体" w:cs="Times New Roman"/>
                <w:b/>
                <w:bCs w:val="0"/>
                <w:sz w:val="24"/>
                <w:lang w:eastAsia="zh-CN"/>
              </w:rPr>
              <w:t>筐</w:t>
            </w:r>
            <w:r>
              <w:rPr>
                <w:rFonts w:hint="default" w:ascii="Times New Roman" w:hAnsi="Times New Roman" w:eastAsia="宋体" w:cs="Times New Roman"/>
                <w:b/>
                <w:bCs w:val="0"/>
                <w:sz w:val="24"/>
              </w:rPr>
              <w:t>产污环节汇总表</w:t>
            </w:r>
          </w:p>
          <w:tbl>
            <w:tblPr>
              <w:tblStyle w:val="22"/>
              <w:tblW w:w="8395" w:type="dxa"/>
              <w:tblInd w:w="8"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1095"/>
              <w:gridCol w:w="2558"/>
              <w:gridCol w:w="2105"/>
              <w:gridCol w:w="2637"/>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c>
                <w:tcPr>
                  <w:tcW w:w="1095"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污染源</w:t>
                  </w:r>
                </w:p>
              </w:tc>
              <w:tc>
                <w:tcPr>
                  <w:tcW w:w="2558"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产污环节</w:t>
                  </w:r>
                </w:p>
              </w:tc>
              <w:tc>
                <w:tcPr>
                  <w:tcW w:w="2105"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主要污染物</w:t>
                  </w:r>
                </w:p>
              </w:tc>
              <w:tc>
                <w:tcPr>
                  <w:tcW w:w="2637"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拟处理措施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c>
                <w:tcPr>
                  <w:tcW w:w="1095" w:type="dxa"/>
                  <w:vMerge w:val="restart"/>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2558"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eastAsia="zh-CN"/>
                    </w:rPr>
                    <w:t>上料、</w:t>
                  </w:r>
                  <w:r>
                    <w:rPr>
                      <w:rFonts w:hint="eastAsia" w:ascii="Times New Roman" w:hAnsi="Times New Roman" w:eastAsia="宋体" w:cs="Times New Roman"/>
                      <w:bCs/>
                      <w:szCs w:val="21"/>
                      <w:lang w:val="en-US" w:eastAsia="zh-CN"/>
                    </w:rPr>
                    <w:t>破碎</w:t>
                  </w:r>
                </w:p>
              </w:tc>
              <w:tc>
                <w:tcPr>
                  <w:tcW w:w="2105" w:type="dxa"/>
                  <w:tcBorders>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颗粒物</w:t>
                  </w:r>
                </w:p>
              </w:tc>
              <w:tc>
                <w:tcPr>
                  <w:tcW w:w="2637" w:type="dxa"/>
                  <w:tcBorders>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车间内洒水降尘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rPr>
                <w:trHeight w:val="1033" w:hRule="atLeast"/>
              </w:trPr>
              <w:tc>
                <w:tcPr>
                  <w:tcW w:w="1095" w:type="dxa"/>
                  <w:vMerge w:val="continue"/>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sz w:val="20"/>
                      <w:szCs w:val="20"/>
                    </w:rPr>
                  </w:pPr>
                </w:p>
              </w:tc>
              <w:tc>
                <w:tcPr>
                  <w:tcW w:w="2558" w:type="dxa"/>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eastAsia" w:ascii="Times New Roman" w:hAnsi="Times New Roman" w:eastAsia="宋体" w:cs="Times New Roman"/>
                      <w:bCs/>
                      <w:szCs w:val="21"/>
                      <w:lang w:eastAsia="zh-CN"/>
                    </w:rPr>
                  </w:pPr>
                </w:p>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注塑</w:t>
                  </w:r>
                </w:p>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default" w:ascii="Times New Roman" w:hAnsi="Times New Roman" w:eastAsia="宋体" w:cs="Times New Roman"/>
                      <w:bCs/>
                      <w:szCs w:val="21"/>
                    </w:rPr>
                  </w:pPr>
                </w:p>
              </w:tc>
              <w:tc>
                <w:tcPr>
                  <w:tcW w:w="2105" w:type="dxa"/>
                  <w:tcBorders>
                    <w:top w:val="single" w:color="auto" w:sz="4"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bCs/>
                      <w:szCs w:val="21"/>
                    </w:rPr>
                    <w:t>非甲烷总烃</w:t>
                  </w:r>
                  <w:r>
                    <w:rPr>
                      <w:rFonts w:hint="eastAsia" w:cs="Times New Roman"/>
                      <w:bCs/>
                      <w:szCs w:val="21"/>
                      <w:lang w:eastAsia="zh-CN"/>
                    </w:rPr>
                    <w:t>、</w:t>
                  </w:r>
                  <w:r>
                    <w:rPr>
                      <w:rFonts w:hint="eastAsia" w:cs="Times New Roman"/>
                      <w:bCs/>
                      <w:szCs w:val="21"/>
                      <w:lang w:val="en-US" w:eastAsia="zh-CN"/>
                    </w:rPr>
                    <w:t>臭气</w:t>
                  </w:r>
                </w:p>
              </w:tc>
              <w:tc>
                <w:tcPr>
                  <w:tcW w:w="2637" w:type="dxa"/>
                  <w:vMerge w:val="restart"/>
                  <w:tcBorders>
                    <w:top w:val="single" w:color="auto" w:sz="4" w:space="0"/>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r>
                    <w:rPr>
                      <w:rFonts w:hint="default" w:ascii="Times New Roman" w:hAnsi="Times New Roman" w:eastAsia="宋体" w:cs="Times New Roman"/>
                      <w:color w:val="000000"/>
                      <w:szCs w:val="21"/>
                      <w:lang w:eastAsia="zh-CN"/>
                    </w:rPr>
                    <w:t>在</w:t>
                  </w:r>
                  <w:r>
                    <w:rPr>
                      <w:rFonts w:hint="eastAsia" w:ascii="Times New Roman" w:hAnsi="Times New Roman" w:eastAsia="宋体" w:cs="Times New Roman"/>
                      <w:color w:val="000000"/>
                      <w:szCs w:val="21"/>
                      <w:lang w:eastAsia="zh-CN"/>
                    </w:rPr>
                    <w:t>每</w:t>
                  </w:r>
                  <w:r>
                    <w:rPr>
                      <w:rFonts w:hint="default" w:ascii="Times New Roman" w:hAnsi="Times New Roman" w:eastAsia="宋体" w:cs="Times New Roman"/>
                      <w:color w:val="000000"/>
                      <w:szCs w:val="21"/>
                      <w:lang w:eastAsia="zh-CN"/>
                    </w:rPr>
                    <w:t>台注塑机机头上方分别设置集气罩将废气负压集气后引至活性炭吸附装置吸附，通过15m高排气筒排放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rPr>
                <w:trHeight w:val="442" w:hRule="atLeast"/>
              </w:trPr>
              <w:tc>
                <w:tcPr>
                  <w:tcW w:w="1095" w:type="dxa"/>
                  <w:vMerge w:val="restart"/>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废水</w:t>
                  </w:r>
                </w:p>
              </w:tc>
              <w:tc>
                <w:tcPr>
                  <w:tcW w:w="2558"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冷却</w:t>
                  </w:r>
                </w:p>
              </w:tc>
              <w:tc>
                <w:tcPr>
                  <w:tcW w:w="2105" w:type="dxa"/>
                  <w:tcBorders>
                    <w:top w:val="single" w:color="auto" w:sz="4" w:space="0"/>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废水</w:t>
                  </w:r>
                </w:p>
              </w:tc>
              <w:tc>
                <w:tcPr>
                  <w:tcW w:w="2637" w:type="dxa"/>
                  <w:vMerge w:val="restart"/>
                  <w:tcBorders>
                    <w:top w:val="single" w:color="auto" w:sz="4" w:space="0"/>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回用于冷却系统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c>
                <w:tcPr>
                  <w:tcW w:w="1095" w:type="dxa"/>
                  <w:vMerge w:val="restart"/>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固废</w:t>
                  </w:r>
                </w:p>
              </w:tc>
              <w:tc>
                <w:tcPr>
                  <w:tcW w:w="2558"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修整检验</w:t>
                  </w:r>
                </w:p>
              </w:tc>
              <w:tc>
                <w:tcPr>
                  <w:tcW w:w="2105" w:type="dxa"/>
                  <w:tcBorders>
                    <w:top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不合格品、废品</w:t>
                  </w:r>
                </w:p>
              </w:tc>
              <w:tc>
                <w:tcPr>
                  <w:tcW w:w="2637" w:type="dxa"/>
                  <w:tcBorders>
                    <w:top w:val="single" w:color="auto" w:sz="4" w:space="0"/>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rPr>
                <w:trHeight w:val="800" w:hRule="atLeast"/>
              </w:trPr>
              <w:tc>
                <w:tcPr>
                  <w:tcW w:w="1095" w:type="dxa"/>
                  <w:vMerge w:val="continue"/>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p>
              </w:tc>
              <w:tc>
                <w:tcPr>
                  <w:tcW w:w="2558" w:type="dxa"/>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废气处理</w:t>
                  </w:r>
                </w:p>
              </w:tc>
              <w:tc>
                <w:tcPr>
                  <w:tcW w:w="2105" w:type="dxa"/>
                  <w:tcBorders>
                    <w:top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非活性炭</w:t>
                  </w:r>
                </w:p>
              </w:tc>
              <w:tc>
                <w:tcPr>
                  <w:tcW w:w="2637" w:type="dxa"/>
                  <w:tcBorders>
                    <w:top w:val="single" w:color="auto" w:sz="4" w:space="0"/>
                    <w:bottom w:val="single" w:color="auto" w:sz="4" w:space="0"/>
                  </w:tcBorders>
                  <w:shd w:val="clear" w:color="auto" w:fill="FFFFFF"/>
                  <w:tcMar>
                    <w:top w:w="15" w:type="dxa"/>
                    <w:left w:w="15" w:type="dxa"/>
                    <w:right w:w="15" w:type="dxa"/>
                  </w:tcMar>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eastAsia="zh-CN"/>
                    </w:rPr>
                    <w:t>厂家回收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c>
                <w:tcPr>
                  <w:tcW w:w="1095" w:type="dxa"/>
                  <w:vMerge w:val="continue"/>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sz w:val="20"/>
                      <w:szCs w:val="20"/>
                    </w:rPr>
                  </w:pPr>
                </w:p>
              </w:tc>
              <w:tc>
                <w:tcPr>
                  <w:tcW w:w="2558" w:type="dxa"/>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default" w:ascii="Times New Roman" w:hAnsi="Times New Roman" w:eastAsia="宋体" w:cs="Times New Roman"/>
                      <w:bCs/>
                      <w:szCs w:val="21"/>
                    </w:rPr>
                  </w:pPr>
                  <w:r>
                    <w:rPr>
                      <w:rFonts w:hint="default" w:ascii="Times New Roman" w:hAnsi="Times New Roman" w:eastAsia="宋体" w:cs="Times New Roman"/>
                      <w:bCs/>
                      <w:szCs w:val="21"/>
                    </w:rPr>
                    <w:t>废原料包装</w:t>
                  </w:r>
                </w:p>
              </w:tc>
              <w:tc>
                <w:tcPr>
                  <w:tcW w:w="2105" w:type="dxa"/>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eastAsia" w:ascii="Times New Roman" w:hAnsi="Times New Roman" w:eastAsia="宋体" w:cs="Times New Roman"/>
                      <w:bCs/>
                      <w:szCs w:val="21"/>
                      <w:lang w:eastAsia="zh-CN"/>
                    </w:rPr>
                  </w:pPr>
                  <w:r>
                    <w:rPr>
                      <w:rFonts w:hint="default" w:ascii="Times New Roman" w:hAnsi="Times New Roman" w:eastAsia="宋体" w:cs="Times New Roman"/>
                      <w:bCs/>
                      <w:szCs w:val="21"/>
                    </w:rPr>
                    <w:t>编织袋</w:t>
                  </w:r>
                </w:p>
              </w:tc>
              <w:tc>
                <w:tcPr>
                  <w:tcW w:w="2637" w:type="dxa"/>
                  <w:tcBorders>
                    <w:top w:val="single" w:color="auto" w:sz="4" w:space="0"/>
                    <w:bottom w:val="single" w:color="auto" w:sz="4" w:space="0"/>
                  </w:tcBorders>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厂区内减容后出售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Ex>
              <w:tc>
                <w:tcPr>
                  <w:tcW w:w="1095" w:type="dxa"/>
                  <w:shd w:val="clear" w:color="auto" w:fill="FFFFFF"/>
                  <w:tcMar>
                    <w:top w:w="15" w:type="dxa"/>
                    <w:left w:w="15" w:type="dxa"/>
                    <w:right w:w="15" w:type="dxa"/>
                  </w:tcMar>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bCs/>
                      <w:szCs w:val="21"/>
                      <w:lang w:val="en-US" w:eastAsia="zh-CN"/>
                    </w:rPr>
                    <w:t>噪声</w:t>
                  </w:r>
                </w:p>
              </w:tc>
              <w:tc>
                <w:tcPr>
                  <w:tcW w:w="2558" w:type="dxa"/>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全部生产环节</w:t>
                  </w:r>
                </w:p>
              </w:tc>
              <w:tc>
                <w:tcPr>
                  <w:tcW w:w="2105" w:type="dxa"/>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textAlignment w:val="top"/>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噪声</w:t>
                  </w:r>
                </w:p>
              </w:tc>
              <w:tc>
                <w:tcPr>
                  <w:tcW w:w="2637" w:type="dxa"/>
                  <w:tcBorders>
                    <w:top w:val="single" w:color="auto" w:sz="4" w:space="0"/>
                  </w:tcBorders>
                  <w:shd w:val="clear" w:color="auto" w:fill="FFFFFF"/>
                  <w:tcMar>
                    <w:top w:w="15" w:type="dxa"/>
                    <w:left w:w="15" w:type="dxa"/>
                    <w:right w:w="15" w:type="dxa"/>
                  </w:tcMar>
                  <w:vAlign w:val="center"/>
                </w:tcPr>
                <w:p>
                  <w:pPr>
                    <w:keepNext w:val="0"/>
                    <w:keepLines w:val="0"/>
                    <w:suppressLineNumbers w:val="0"/>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厂房隔声</w:t>
                  </w:r>
                </w:p>
              </w:tc>
            </w:tr>
          </w:tbl>
          <w:p>
            <w:pPr>
              <w:keepNext w:val="0"/>
              <w:keepLines w:val="0"/>
              <w:suppressLineNumbers w:val="0"/>
              <w:spacing w:before="0" w:beforeAutospacing="0" w:after="0" w:afterAutospacing="0"/>
              <w:ind w:left="0" w:right="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trPr>
        <w:tc>
          <w:tcPr>
            <w:tcW w:w="449" w:type="dxa"/>
            <w:vAlign w:val="center"/>
          </w:tcPr>
          <w:p>
            <w:pPr>
              <w:pStyle w:val="18"/>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Cs/>
                <w:kern w:val="2"/>
                <w:sz w:val="24"/>
                <w:szCs w:val="24"/>
              </w:rPr>
              <w:t>与项目有关的原有环境污染问题</w:t>
            </w:r>
          </w:p>
        </w:tc>
        <w:tc>
          <w:tcPr>
            <w:tcW w:w="8611" w:type="dxa"/>
            <w:vAlign w:val="top"/>
          </w:tcPr>
          <w:p>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bCs/>
                <w:color w:val="auto"/>
                <w:sz w:val="24"/>
                <w:szCs w:val="24"/>
                <w:lang w:val="en-US" w:eastAsia="zh-CN"/>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经与项目单位核实，原厂房</w:t>
            </w:r>
            <w:r>
              <w:rPr>
                <w:rFonts w:hint="eastAsia" w:ascii="Times New Roman" w:hAnsi="Times New Roman" w:eastAsia="宋体" w:cs="Times New Roman"/>
                <w:bCs/>
                <w:color w:val="auto"/>
                <w:sz w:val="24"/>
                <w:lang w:val="en-US" w:eastAsia="zh-CN"/>
              </w:rPr>
              <w:t>为东京城镇振兴村种子库老办公室（购买合同见附件）</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仅用于办公，一直未进行生产活动</w:t>
            </w:r>
            <w:r>
              <w:rPr>
                <w:rFonts w:hint="default" w:ascii="Times New Roman" w:hAnsi="Times New Roman" w:eastAsia="宋体" w:cs="Times New Roman"/>
                <w:bCs/>
                <w:color w:val="auto"/>
                <w:sz w:val="24"/>
              </w:rPr>
              <w:t>，本项目所处位置现无污染问题。</w:t>
            </w:r>
          </w:p>
          <w:p>
            <w:pPr>
              <w:keepNext w:val="0"/>
              <w:keepLines w:val="0"/>
              <w:suppressLineNumbers w:val="0"/>
              <w:adjustRightInd w:val="0"/>
              <w:snapToGrid w:val="0"/>
              <w:spacing w:before="0" w:beforeAutospacing="0" w:after="0" w:afterAutospacing="0"/>
              <w:ind w:left="0" w:right="0" w:firstLine="480" w:firstLineChars="200"/>
              <w:rPr>
                <w:rFonts w:hint="default" w:ascii="宋体" w:hAnsi="宋体" w:eastAsia="宋体" w:cs="宋体"/>
                <w:bCs/>
                <w:sz w:val="24"/>
                <w:szCs w:val="24"/>
                <w:lang w:val="en-US" w:eastAsia="zh-CN"/>
              </w:rPr>
            </w:pPr>
          </w:p>
        </w:tc>
      </w:tr>
    </w:tbl>
    <w:p>
      <w:pPr>
        <w:pStyle w:val="18"/>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2"/>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5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jc w:val="center"/>
        </w:trPr>
        <w:tc>
          <w:tcPr>
            <w:tcW w:w="48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4"/>
                <w:szCs w:val="24"/>
              </w:rPr>
              <w:t>现状</w:t>
            </w:r>
          </w:p>
        </w:tc>
        <w:tc>
          <w:tcPr>
            <w:tcW w:w="85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一、</w:t>
            </w:r>
            <w:r>
              <w:rPr>
                <w:rFonts w:hint="default" w:ascii="Times New Roman" w:hAnsi="Times New Roman" w:eastAsia="宋体" w:cs="Times New Roman"/>
                <w:b/>
                <w:bCs/>
                <w:color w:val="auto"/>
                <w:sz w:val="24"/>
                <w:szCs w:val="24"/>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本项目位于黑龙江省牡丹江市宁安市东京城镇振兴村，所属区域无环境监测网数据，根据《环境影响评价技术导则 大气环境》（HJ2.2-2018），“6.2.1.3 评价范围内没有环境空气质量监测网数据或公开发布的环境空气质量现状数据的，可选择符合 HJ 664 规定，并且与评价范围地理位置邻近，地形、气候条件相近的环境空气质量城市点或区域点监测数据。”本项目采用牡丹江地区2021年发布的环境质量公报作为现状评价标准。</w:t>
            </w:r>
            <w:r>
              <w:rPr>
                <w:rFonts w:hint="default" w:ascii="Times New Roman" w:hAnsi="Times New Roman" w:eastAsia="宋体" w:cs="Times New Roman"/>
                <w:color w:val="auto"/>
                <w:sz w:val="24"/>
                <w:szCs w:val="24"/>
                <w:lang w:val="zh-CN"/>
              </w:rPr>
              <w:t>根据牡丹江市20</w:t>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年环境质量公报，本项目环境空气质量</w:t>
            </w:r>
            <w:r>
              <w:rPr>
                <w:rFonts w:hint="default" w:ascii="Times New Roman" w:hAnsi="Times New Roman" w:eastAsia="宋体" w:cs="Times New Roman"/>
                <w:color w:val="auto"/>
                <w:sz w:val="24"/>
                <w:szCs w:val="24"/>
                <w:lang w:val="en-US" w:eastAsia="zh-CN"/>
              </w:rPr>
              <w:t>现状如下：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牡丹江市空气自动监测项目为二氧化硫、二氧化氮、可吸入颗粒物（PM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）、细颗粒物（PM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）、一氧化碳和臭氧六项，环境空气质量执行《环境空气质量标准》（GB3095-2012）中的二级标准，并按照空气质量指数（AQI）标准评价。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年牡丹江市区环境空气质量达标天数比例为</w:t>
            </w:r>
            <w:r>
              <w:rPr>
                <w:rFonts w:hint="default" w:ascii="Times New Roman" w:hAnsi="Times New Roman" w:eastAsia="宋体" w:cs="Times New Roman"/>
                <w:sz w:val="24"/>
                <w:szCs w:val="24"/>
                <w:lang w:val="en-US" w:eastAsia="zh-CN"/>
              </w:rPr>
              <w:t>95.9</w:t>
            </w:r>
            <w:r>
              <w:rPr>
                <w:rFonts w:hint="default" w:ascii="Times New Roman" w:hAnsi="Times New Roman" w:eastAsia="宋体" w:cs="Times New Roman"/>
                <w:sz w:val="24"/>
                <w:szCs w:val="24"/>
              </w:rPr>
              <w:t>%。市区细颗粒物、可吸入颗粒物、二氧化硫、二氧化氮年均值,一氧化碳日均值及臭氧日最大8小时平均值均优于国家环境空气质量二级标准。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i/>
                <w:sz w:val="24"/>
                <w:szCs w:val="24"/>
                <w:u w:val="single"/>
              </w:rPr>
            </w:pPr>
            <w:r>
              <w:rPr>
                <w:rFonts w:hint="default" w:ascii="Times New Roman" w:hAnsi="Times New Roman" w:eastAsia="宋体" w:cs="Times New Roman"/>
                <w:b/>
                <w:sz w:val="24"/>
                <w:szCs w:val="24"/>
              </w:rPr>
              <w:t>1、达标天数状况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年牡丹江市区全年监测天数为36</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天，达标天数为</w:t>
            </w:r>
            <w:r>
              <w:rPr>
                <w:rFonts w:hint="default" w:ascii="Times New Roman" w:hAnsi="Times New Roman" w:eastAsia="宋体" w:cs="Times New Roman"/>
                <w:sz w:val="24"/>
                <w:szCs w:val="24"/>
                <w:lang w:val="en-US" w:eastAsia="zh-CN"/>
              </w:rPr>
              <w:t>350</w:t>
            </w:r>
            <w:r>
              <w:rPr>
                <w:rFonts w:hint="default" w:ascii="Times New Roman" w:hAnsi="Times New Roman" w:eastAsia="宋体" w:cs="Times New Roman"/>
                <w:sz w:val="24"/>
                <w:szCs w:val="24"/>
              </w:rPr>
              <w:t>天，占全年总监测天数的</w:t>
            </w:r>
            <w:r>
              <w:rPr>
                <w:rFonts w:hint="default" w:ascii="Times New Roman" w:hAnsi="Times New Roman" w:eastAsia="宋体" w:cs="Times New Roman"/>
                <w:sz w:val="24"/>
                <w:szCs w:val="24"/>
                <w:lang w:val="en-US" w:eastAsia="zh-CN"/>
              </w:rPr>
              <w:t>95.9</w:t>
            </w:r>
            <w:r>
              <w:rPr>
                <w:rFonts w:hint="default" w:ascii="Times New Roman" w:hAnsi="Times New Roman" w:eastAsia="宋体" w:cs="Times New Roman"/>
                <w:sz w:val="24"/>
                <w:szCs w:val="24"/>
              </w:rPr>
              <w:t>%，其中优</w:t>
            </w:r>
            <w:r>
              <w:rPr>
                <w:rFonts w:hint="default" w:ascii="Times New Roman" w:hAnsi="Times New Roman" w:eastAsia="宋体" w:cs="Times New Roman"/>
                <w:sz w:val="24"/>
                <w:szCs w:val="24"/>
                <w:lang w:val="en-US" w:eastAsia="zh-CN"/>
              </w:rPr>
              <w:t>198</w:t>
            </w:r>
            <w:r>
              <w:rPr>
                <w:rFonts w:hint="default" w:ascii="Times New Roman" w:hAnsi="Times New Roman" w:eastAsia="宋体" w:cs="Times New Roman"/>
                <w:sz w:val="24"/>
                <w:szCs w:val="24"/>
              </w:rPr>
              <w:t>天，良</w:t>
            </w:r>
            <w:r>
              <w:rPr>
                <w:rFonts w:hint="default" w:ascii="Times New Roman" w:hAnsi="Times New Roman" w:eastAsia="宋体" w:cs="Times New Roman"/>
                <w:sz w:val="24"/>
                <w:szCs w:val="24"/>
                <w:lang w:val="en-US" w:eastAsia="zh-CN"/>
              </w:rPr>
              <w:t>152</w:t>
            </w:r>
            <w:r>
              <w:rPr>
                <w:rFonts w:hint="default" w:ascii="Times New Roman" w:hAnsi="Times New Roman" w:eastAsia="宋体" w:cs="Times New Roman"/>
                <w:sz w:val="24"/>
                <w:szCs w:val="24"/>
              </w:rPr>
              <w:t>天，轻度污染</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天，中度污染</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天</w:t>
            </w:r>
            <w:r>
              <w:rPr>
                <w:rFonts w:hint="default" w:ascii="Times New Roman" w:hAnsi="Times New Roman" w:eastAsia="宋体" w:cs="Times New Roman"/>
                <w:sz w:val="24"/>
                <w:szCs w:val="24"/>
                <w:lang w:eastAsia="zh-CN"/>
              </w:rPr>
              <w:t>，重度污染</w:t>
            </w:r>
            <w:r>
              <w:rPr>
                <w:rFonts w:hint="default" w:ascii="Times New Roman" w:hAnsi="Times New Roman" w:eastAsia="宋体" w:cs="Times New Roman"/>
                <w:sz w:val="24"/>
                <w:szCs w:val="24"/>
                <w:lang w:val="en-US" w:eastAsia="zh-CN"/>
              </w:rPr>
              <w:t>3天</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2、主要污染物浓度状况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年牡丹江市区细颗粒物（PM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）、可吸入颗粒物(PM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)、二氧化硫和二氧化氮年均值分别为</w:t>
            </w:r>
            <w:r>
              <w:rPr>
                <w:rFonts w:hint="default"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51</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3、与去年相比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20</w:t>
            </w:r>
            <w:r>
              <w:rPr>
                <w:rFonts w:hint="default" w:ascii="Times New Roman" w:hAnsi="Times New Roman" w:eastAsia="宋体" w:cs="Times New Roman"/>
                <w:b w:val="0"/>
                <w:bCs w:val="0"/>
                <w:sz w:val="24"/>
                <w:szCs w:val="24"/>
                <w:lang w:val="en-US" w:eastAsia="zh-CN"/>
              </w:rPr>
              <w:t>21</w:t>
            </w:r>
            <w:r>
              <w:rPr>
                <w:rFonts w:hint="default" w:ascii="Times New Roman" w:hAnsi="Times New Roman" w:eastAsia="宋体" w:cs="Times New Roman"/>
                <w:b w:val="0"/>
                <w:bCs w:val="0"/>
                <w:sz w:val="24"/>
                <w:szCs w:val="24"/>
              </w:rPr>
              <w:t>年优良天数比去年</w:t>
            </w:r>
            <w:r>
              <w:rPr>
                <w:rFonts w:hint="default" w:ascii="Times New Roman" w:hAnsi="Times New Roman" w:eastAsia="宋体" w:cs="Times New Roman"/>
                <w:b w:val="0"/>
                <w:bCs w:val="0"/>
                <w:sz w:val="24"/>
                <w:szCs w:val="24"/>
                <w:lang w:eastAsia="zh-CN"/>
              </w:rPr>
              <w:t>增加了</w:t>
            </w:r>
            <w:r>
              <w:rPr>
                <w:rFonts w:hint="default" w:ascii="Times New Roman" w:hAnsi="Times New Roman" w:eastAsia="宋体" w:cs="Times New Roman"/>
                <w:b w:val="0"/>
                <w:bCs w:val="0"/>
                <w:sz w:val="24"/>
                <w:szCs w:val="24"/>
                <w:lang w:val="en-US" w:eastAsia="zh-CN"/>
              </w:rPr>
              <w:t>13</w:t>
            </w:r>
            <w:r>
              <w:rPr>
                <w:rFonts w:hint="default" w:ascii="Times New Roman" w:hAnsi="Times New Roman" w:eastAsia="宋体" w:cs="Times New Roman"/>
                <w:b w:val="0"/>
                <w:bCs w:val="0"/>
                <w:sz w:val="24"/>
                <w:szCs w:val="24"/>
              </w:rPr>
              <w:t>天。细颗粒物和二氧化硫</w:t>
            </w:r>
            <w:r>
              <w:rPr>
                <w:rFonts w:hint="default" w:ascii="Times New Roman" w:hAnsi="Times New Roman" w:eastAsia="宋体" w:cs="Times New Roman"/>
                <w:b w:val="0"/>
                <w:bCs w:val="0"/>
                <w:sz w:val="24"/>
                <w:szCs w:val="24"/>
                <w:lang w:eastAsia="zh-CN"/>
              </w:rPr>
              <w:t>年均浓度</w:t>
            </w:r>
            <w:r>
              <w:rPr>
                <w:rFonts w:hint="default" w:ascii="Times New Roman" w:hAnsi="Times New Roman" w:eastAsia="宋体" w:cs="Times New Roman"/>
                <w:b w:val="0"/>
                <w:bCs w:val="0"/>
                <w:sz w:val="24"/>
                <w:szCs w:val="24"/>
              </w:rPr>
              <w:t>均呈</w:t>
            </w:r>
            <w:r>
              <w:rPr>
                <w:rFonts w:hint="default" w:ascii="Times New Roman" w:hAnsi="Times New Roman" w:eastAsia="宋体" w:cs="Times New Roman"/>
                <w:b w:val="0"/>
                <w:bCs w:val="0"/>
                <w:sz w:val="24"/>
                <w:szCs w:val="24"/>
                <w:lang w:eastAsia="zh-CN"/>
              </w:rPr>
              <w:t>下降</w:t>
            </w:r>
            <w:r>
              <w:rPr>
                <w:rFonts w:hint="default" w:ascii="Times New Roman" w:hAnsi="Times New Roman" w:eastAsia="宋体" w:cs="Times New Roman"/>
                <w:b w:val="0"/>
                <w:bCs w:val="0"/>
                <w:sz w:val="24"/>
                <w:szCs w:val="24"/>
              </w:rPr>
              <w:t>趋势，分别</w:t>
            </w:r>
            <w:r>
              <w:rPr>
                <w:rFonts w:hint="default" w:ascii="Times New Roman" w:hAnsi="Times New Roman" w:eastAsia="宋体" w:cs="Times New Roman"/>
                <w:b w:val="0"/>
                <w:bCs w:val="0"/>
                <w:sz w:val="24"/>
                <w:szCs w:val="24"/>
                <w:lang w:eastAsia="zh-CN"/>
              </w:rPr>
              <w:t>下降</w:t>
            </w:r>
            <w:r>
              <w:rPr>
                <w:rFonts w:hint="default" w:ascii="Times New Roman" w:hAnsi="Times New Roman" w:eastAsia="宋体" w:cs="Times New Roman"/>
                <w:b w:val="0"/>
                <w:bCs w:val="0"/>
                <w:sz w:val="24"/>
                <w:szCs w:val="24"/>
              </w:rPr>
              <w:t>了</w:t>
            </w:r>
            <w:r>
              <w:rPr>
                <w:rFonts w:hint="default" w:ascii="Times New Roman" w:hAnsi="Times New Roman" w:eastAsia="宋体" w:cs="Times New Roman"/>
                <w:b w:val="0"/>
                <w:bCs w:val="0"/>
                <w:sz w:val="24"/>
                <w:szCs w:val="24"/>
                <w:lang w:val="en-US" w:eastAsia="zh-CN"/>
              </w:rPr>
              <w:t>6.5</w:t>
            </w:r>
            <w:r>
              <w:rPr>
                <w:rFonts w:hint="default" w:ascii="Times New Roman" w:hAnsi="Times New Roman" w:eastAsia="宋体" w:cs="Times New Roman"/>
                <w:b w:val="0"/>
                <w:bCs w:val="0"/>
                <w:sz w:val="24"/>
                <w:szCs w:val="24"/>
              </w:rPr>
              <w:t>%和</w:t>
            </w:r>
            <w:r>
              <w:rPr>
                <w:rFonts w:hint="default" w:ascii="Times New Roman" w:hAnsi="Times New Roman" w:eastAsia="宋体" w:cs="Times New Roman"/>
                <w:b w:val="0"/>
                <w:bCs w:val="0"/>
                <w:sz w:val="24"/>
                <w:szCs w:val="24"/>
                <w:lang w:val="en-US" w:eastAsia="zh-CN"/>
              </w:rPr>
              <w:t>11.1</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可吸入颗粒物</w:t>
            </w:r>
            <w:r>
              <w:rPr>
                <w:rFonts w:hint="default" w:ascii="Times New Roman" w:hAnsi="Times New Roman" w:eastAsia="宋体" w:cs="Times New Roman"/>
                <w:b w:val="0"/>
                <w:bCs w:val="0"/>
                <w:sz w:val="24"/>
                <w:szCs w:val="24"/>
                <w:lang w:eastAsia="zh-CN"/>
              </w:rPr>
              <w:t>和</w:t>
            </w:r>
            <w:r>
              <w:rPr>
                <w:rFonts w:hint="default" w:ascii="Times New Roman" w:hAnsi="Times New Roman" w:eastAsia="宋体" w:cs="Times New Roman"/>
                <w:b w:val="0"/>
                <w:bCs w:val="0"/>
                <w:sz w:val="24"/>
                <w:szCs w:val="24"/>
              </w:rPr>
              <w:t>二氧化氮</w:t>
            </w:r>
            <w:r>
              <w:rPr>
                <w:rFonts w:hint="default" w:ascii="Times New Roman" w:hAnsi="Times New Roman" w:eastAsia="宋体" w:cs="Times New Roman"/>
                <w:b w:val="0"/>
                <w:bCs w:val="0"/>
                <w:sz w:val="24"/>
                <w:szCs w:val="24"/>
                <w:lang w:eastAsia="zh-CN"/>
              </w:rPr>
              <w:t>年均浓度无变化</w:t>
            </w:r>
            <w:r>
              <w:rPr>
                <w:rFonts w:hint="default" w:ascii="Times New Roman" w:hAnsi="Times New Roman" w:eastAsia="宋体" w:cs="Times New Roman"/>
                <w:b w:val="0"/>
                <w:bCs w:val="0"/>
                <w:sz w:val="24"/>
                <w:szCs w:val="24"/>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eastAsia" w:ascii="Times New Roman" w:hAnsi="Times New Roman" w:cs="Times New Roman"/>
                <w:b/>
                <w:bCs/>
                <w:sz w:val="24"/>
                <w:szCs w:val="24"/>
                <w:lang w:val="en-US" w:eastAsia="zh-CN"/>
              </w:rPr>
              <w:t xml:space="preserve">表3-1 </w:t>
            </w:r>
            <w:r>
              <w:rPr>
                <w:rFonts w:hint="default" w:ascii="Times New Roman" w:hAnsi="Times New Roman" w:eastAsia="宋体" w:cs="Times New Roman"/>
                <w:b/>
                <w:bCs/>
                <w:sz w:val="24"/>
                <w:szCs w:val="24"/>
              </w:rPr>
              <w:t>20</w:t>
            </w:r>
            <w:r>
              <w:rPr>
                <w:rFonts w:hint="default" w:ascii="Times New Roman" w:hAnsi="Times New Roman" w:eastAsia="宋体" w:cs="Times New Roman"/>
                <w:b/>
                <w:bCs/>
                <w:sz w:val="24"/>
                <w:szCs w:val="24"/>
                <w:lang w:val="en-US" w:eastAsia="zh-CN"/>
              </w:rPr>
              <w:t>20</w:t>
            </w:r>
            <w:r>
              <w:rPr>
                <w:rFonts w:hint="default" w:ascii="Times New Roman" w:hAnsi="Times New Roman" w:eastAsia="宋体" w:cs="Times New Roman"/>
                <w:b/>
                <w:bCs/>
                <w:sz w:val="24"/>
                <w:szCs w:val="24"/>
              </w:rPr>
              <w:t>、20</w:t>
            </w:r>
            <w:r>
              <w:rPr>
                <w:rFonts w:hint="default" w:ascii="Times New Roman" w:hAnsi="Times New Roman" w:eastAsia="宋体" w:cs="Times New Roman"/>
                <w:b/>
                <w:bCs/>
                <w:sz w:val="24"/>
                <w:szCs w:val="24"/>
                <w:lang w:val="en-US" w:eastAsia="zh-CN"/>
              </w:rPr>
              <w:t>21</w:t>
            </w:r>
            <w:r>
              <w:rPr>
                <w:rFonts w:hint="default" w:ascii="Times New Roman" w:hAnsi="Times New Roman" w:eastAsia="宋体" w:cs="Times New Roman"/>
                <w:b/>
                <w:bCs/>
                <w:sz w:val="24"/>
                <w:szCs w:val="24"/>
              </w:rPr>
              <w:t>年环境空气质量对比表</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单位：</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b w:val="0"/>
                <w:bCs w:val="0"/>
                <w:sz w:val="24"/>
                <w:szCs w:val="24"/>
                <w:lang w:eastAsia="zh-CN"/>
              </w:rPr>
              <w:t>）</w:t>
            </w:r>
          </w:p>
          <w:tbl>
            <w:tblPr>
              <w:tblStyle w:val="22"/>
              <w:tblW w:w="835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391"/>
              <w:gridCol w:w="1393"/>
              <w:gridCol w:w="1393"/>
              <w:gridCol w:w="1393"/>
              <w:gridCol w:w="1393"/>
              <w:gridCol w:w="1393"/>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年度</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细颗粒物（PM</w:t>
                  </w:r>
                  <w:r>
                    <w:rPr>
                      <w:rFonts w:hint="default" w:ascii="Times New Roman" w:hAnsi="Times New Roman" w:eastAsia="宋体" w:cs="Times New Roman"/>
                      <w:b w:val="0"/>
                      <w:bCs/>
                      <w:sz w:val="21"/>
                      <w:szCs w:val="21"/>
                      <w:vertAlign w:val="subscript"/>
                    </w:rPr>
                    <w:t>2.5</w:t>
                  </w:r>
                  <w:r>
                    <w:rPr>
                      <w:rFonts w:hint="default" w:ascii="Times New Roman" w:hAnsi="Times New Roman" w:eastAsia="宋体" w:cs="Times New Roman"/>
                      <w:b w:val="0"/>
                      <w:bCs/>
                      <w:sz w:val="21"/>
                      <w:szCs w:val="21"/>
                    </w:rPr>
                    <w:t>）</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可吸入颗粒物(PM</w:t>
                  </w:r>
                  <w:r>
                    <w:rPr>
                      <w:rFonts w:hint="default" w:ascii="Times New Roman" w:hAnsi="Times New Roman" w:eastAsia="宋体" w:cs="Times New Roman"/>
                      <w:b w:val="0"/>
                      <w:bCs/>
                      <w:sz w:val="21"/>
                      <w:szCs w:val="21"/>
                      <w:vertAlign w:val="subscript"/>
                    </w:rPr>
                    <w:t>10</w:t>
                  </w:r>
                  <w:r>
                    <w:rPr>
                      <w:rFonts w:hint="default" w:ascii="Times New Roman" w:hAnsi="Times New Roman" w:eastAsia="宋体" w:cs="Times New Roman"/>
                      <w:b w:val="0"/>
                      <w:bCs/>
                      <w:sz w:val="21"/>
                      <w:szCs w:val="21"/>
                    </w:rPr>
                    <w:t>)</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二氧化硫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(SO</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二氧化氮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(NO</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达标天数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eastAsia="zh-CN" w:bidi="ar-SA"/>
                    </w:rPr>
                  </w:pPr>
                  <w:r>
                    <w:rPr>
                      <w:rFonts w:hint="default" w:ascii="Times New Roman" w:hAnsi="Times New Roman" w:eastAsia="宋体" w:cs="Times New Roman"/>
                      <w:b w:val="0"/>
                      <w:bCs/>
                      <w:sz w:val="21"/>
                      <w:szCs w:val="21"/>
                      <w:lang w:val="en-US" w:eastAsia="zh-CN"/>
                    </w:rPr>
                    <w:t>2020</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31</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51</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9</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23</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337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2021</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29</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51</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23</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35</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70</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60</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40</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变化趋势</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下降</w:t>
                  </w:r>
                  <w:r>
                    <w:rPr>
                      <w:rFonts w:hint="default" w:ascii="Times New Roman" w:hAnsi="Times New Roman" w:eastAsia="宋体" w:cs="Times New Roman"/>
                      <w:b w:val="0"/>
                      <w:bCs/>
                      <w:sz w:val="21"/>
                      <w:szCs w:val="21"/>
                      <w:lang w:val="en-US" w:eastAsia="zh-CN"/>
                    </w:rPr>
                    <w:t>2</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eastAsia="zh-CN"/>
                    </w:rPr>
                    <w:t>不变</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eastAsia="zh-CN"/>
                    </w:rPr>
                    <w:t>下降</w:t>
                  </w:r>
                  <w:r>
                    <w:rPr>
                      <w:rFonts w:hint="default" w:ascii="Times New Roman" w:hAnsi="Times New Roman" w:eastAsia="宋体" w:cs="Times New Roman"/>
                      <w:b w:val="0"/>
                      <w:bCs/>
                      <w:sz w:val="21"/>
                      <w:szCs w:val="21"/>
                      <w:lang w:val="en-US" w:eastAsia="zh-CN"/>
                    </w:rPr>
                    <w:t>1</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eastAsia="zh-CN"/>
                    </w:rPr>
                    <w:t>不变</w:t>
                  </w:r>
                </w:p>
              </w:tc>
              <w:tc>
                <w:tcPr>
                  <w:tcW w:w="13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增加</w:t>
                  </w:r>
                  <w:r>
                    <w:rPr>
                      <w:rFonts w:hint="default" w:ascii="Times New Roman" w:hAnsi="Times New Roman" w:eastAsia="宋体" w:cs="Times New Roman"/>
                      <w:b w:val="0"/>
                      <w:bCs/>
                      <w:sz w:val="21"/>
                      <w:szCs w:val="21"/>
                      <w:lang w:val="en-US" w:eastAsia="zh-CN"/>
                    </w:rPr>
                    <w:t>13天</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4"/>
                <w:szCs w:val="24"/>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bCs/>
                <w:color w:val="auto"/>
                <w:sz w:val="24"/>
                <w:szCs w:val="24"/>
                <w:lang w:val="en-US" w:eastAsia="zh-CN"/>
              </w:rPr>
              <w:t xml:space="preserve">表3-2 </w:t>
            </w:r>
            <w:r>
              <w:rPr>
                <w:rFonts w:hint="default" w:ascii="Times New Roman" w:hAnsi="Times New Roman" w:eastAsia="宋体" w:cs="Times New Roman"/>
                <w:b/>
                <w:bCs/>
                <w:color w:val="auto"/>
                <w:sz w:val="24"/>
                <w:szCs w:val="24"/>
              </w:rPr>
              <w:t>20</w:t>
            </w:r>
            <w:r>
              <w:rPr>
                <w:rFonts w:hint="default" w:ascii="Times New Roman" w:hAnsi="Times New Roman" w:eastAsia="宋体" w:cs="Times New Roman"/>
                <w:b/>
                <w:bCs/>
                <w:color w:val="auto"/>
                <w:sz w:val="24"/>
                <w:szCs w:val="24"/>
                <w:lang w:val="en-US" w:eastAsia="zh-CN"/>
              </w:rPr>
              <w:t>20</w:t>
            </w:r>
            <w:r>
              <w:rPr>
                <w:rFonts w:hint="default" w:ascii="Times New Roman" w:hAnsi="Times New Roman" w:eastAsia="宋体" w:cs="Times New Roman"/>
                <w:b/>
                <w:bCs/>
                <w:color w:val="auto"/>
                <w:sz w:val="24"/>
                <w:szCs w:val="24"/>
              </w:rPr>
              <w:t>、20</w:t>
            </w:r>
            <w:r>
              <w:rPr>
                <w:rFonts w:hint="default"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rPr>
              <w:t>年环境空气质量天数统计表</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单位：</w:t>
            </w:r>
            <w:r>
              <w:rPr>
                <w:rFonts w:hint="default" w:ascii="Times New Roman" w:hAnsi="Times New Roman" w:eastAsia="宋体" w:cs="Times New Roman"/>
                <w:sz w:val="24"/>
                <w:szCs w:val="24"/>
                <w:shd w:val="clear" w:color="auto" w:fill="FFFFFF"/>
              </w:rPr>
              <w:t>μg/m</w:t>
            </w:r>
            <w:r>
              <w:rPr>
                <w:rFonts w:hint="default" w:ascii="Times New Roman" w:hAnsi="Times New Roman" w:eastAsia="宋体" w:cs="Times New Roman"/>
                <w:sz w:val="24"/>
                <w:szCs w:val="24"/>
                <w:shd w:val="clear" w:color="auto" w:fill="FFFFFF"/>
                <w:vertAlign w:val="superscript"/>
              </w:rPr>
              <w:t>3</w:t>
            </w:r>
            <w:r>
              <w:rPr>
                <w:rFonts w:hint="default" w:ascii="Times New Roman" w:hAnsi="Times New Roman" w:eastAsia="宋体" w:cs="Times New Roman"/>
                <w:sz w:val="24"/>
                <w:szCs w:val="24"/>
                <w:shd w:val="clear" w:color="auto" w:fill="FFFFFF"/>
                <w:vertAlign w:val="baseline"/>
                <w:lang w:eastAsia="zh-CN"/>
              </w:rPr>
              <w:t>）</w:t>
            </w:r>
          </w:p>
          <w:tbl>
            <w:tblPr>
              <w:tblStyle w:val="22"/>
              <w:tblW w:w="82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86"/>
              <w:gridCol w:w="966"/>
              <w:gridCol w:w="916"/>
              <w:gridCol w:w="1118"/>
              <w:gridCol w:w="1078"/>
              <w:gridCol w:w="1063"/>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8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年度</w:t>
                  </w:r>
                </w:p>
              </w:tc>
              <w:tc>
                <w:tcPr>
                  <w:tcW w:w="11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监测天数</w:t>
                  </w:r>
                </w:p>
              </w:tc>
              <w:tc>
                <w:tcPr>
                  <w:tcW w:w="9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优（天）</w:t>
                  </w:r>
                </w:p>
              </w:tc>
              <w:tc>
                <w:tcPr>
                  <w:tcW w:w="9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良（天）</w:t>
                  </w:r>
                </w:p>
              </w:tc>
              <w:tc>
                <w:tcPr>
                  <w:tcW w:w="11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轻度污染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（天）</w:t>
                  </w:r>
                </w:p>
              </w:tc>
              <w:tc>
                <w:tcPr>
                  <w:tcW w:w="107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中度污染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（天）</w:t>
                  </w:r>
                </w:p>
              </w:tc>
              <w:tc>
                <w:tcPr>
                  <w:tcW w:w="10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重度污染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（天）</w:t>
                  </w:r>
                </w:p>
              </w:tc>
              <w:tc>
                <w:tcPr>
                  <w:tcW w:w="11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严重污染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eastAsia="zh-CN" w:bidi="ar-SA"/>
                    </w:rPr>
                  </w:pPr>
                  <w:r>
                    <w:rPr>
                      <w:rFonts w:hint="default" w:ascii="Times New Roman" w:hAnsi="Times New Roman" w:eastAsia="宋体" w:cs="Times New Roman"/>
                      <w:b w:val="0"/>
                      <w:bCs/>
                      <w:sz w:val="21"/>
                      <w:szCs w:val="21"/>
                      <w:lang w:val="en-US" w:eastAsia="zh-CN"/>
                    </w:rPr>
                    <w:t>2020</w:t>
                  </w:r>
                </w:p>
              </w:tc>
              <w:tc>
                <w:tcPr>
                  <w:tcW w:w="11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bidi="ar-SA"/>
                    </w:rPr>
                  </w:pPr>
                  <w:r>
                    <w:rPr>
                      <w:rFonts w:hint="default" w:ascii="Times New Roman" w:hAnsi="Times New Roman" w:eastAsia="宋体" w:cs="Times New Roman"/>
                      <w:b w:val="0"/>
                      <w:bCs/>
                      <w:sz w:val="21"/>
                      <w:szCs w:val="21"/>
                      <w:lang w:val="en-US" w:eastAsia="zh-CN"/>
                    </w:rPr>
                    <w:t>366</w:t>
                  </w:r>
                </w:p>
              </w:tc>
              <w:tc>
                <w:tcPr>
                  <w:tcW w:w="9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200</w:t>
                  </w:r>
                </w:p>
              </w:tc>
              <w:tc>
                <w:tcPr>
                  <w:tcW w:w="9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137</w:t>
                  </w:r>
                </w:p>
              </w:tc>
              <w:tc>
                <w:tcPr>
                  <w:tcW w:w="11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28</w:t>
                  </w:r>
                </w:p>
              </w:tc>
              <w:tc>
                <w:tcPr>
                  <w:tcW w:w="107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1</w:t>
                  </w:r>
                </w:p>
              </w:tc>
              <w:tc>
                <w:tcPr>
                  <w:tcW w:w="10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w:t>
                  </w:r>
                </w:p>
              </w:tc>
              <w:tc>
                <w:tcPr>
                  <w:tcW w:w="11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2021</w:t>
                  </w:r>
                </w:p>
              </w:tc>
              <w:tc>
                <w:tcPr>
                  <w:tcW w:w="11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365</w:t>
                  </w:r>
                </w:p>
              </w:tc>
              <w:tc>
                <w:tcPr>
                  <w:tcW w:w="9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198</w:t>
                  </w:r>
                </w:p>
              </w:tc>
              <w:tc>
                <w:tcPr>
                  <w:tcW w:w="9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152</w:t>
                  </w:r>
                </w:p>
              </w:tc>
              <w:tc>
                <w:tcPr>
                  <w:tcW w:w="11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107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w:t>
                  </w:r>
                </w:p>
              </w:tc>
              <w:tc>
                <w:tcPr>
                  <w:tcW w:w="10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3</w:t>
                  </w:r>
                </w:p>
              </w:tc>
              <w:tc>
                <w:tcPr>
                  <w:tcW w:w="11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变化趋势</w:t>
                  </w:r>
                </w:p>
              </w:tc>
              <w:tc>
                <w:tcPr>
                  <w:tcW w:w="118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c>
                <w:tcPr>
                  <w:tcW w:w="9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减少</w:t>
                  </w:r>
                  <w:r>
                    <w:rPr>
                      <w:rFonts w:hint="default" w:ascii="Times New Roman" w:hAnsi="Times New Roman" w:eastAsia="宋体" w:cs="Times New Roman"/>
                      <w:b w:val="0"/>
                      <w:bCs/>
                      <w:sz w:val="21"/>
                      <w:szCs w:val="21"/>
                      <w:lang w:val="en-US" w:eastAsia="zh-CN"/>
                    </w:rPr>
                    <w:t>2</w:t>
                  </w:r>
                </w:p>
              </w:tc>
              <w:tc>
                <w:tcPr>
                  <w:tcW w:w="91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增加</w:t>
                  </w:r>
                  <w:r>
                    <w:rPr>
                      <w:rFonts w:hint="default" w:ascii="Times New Roman" w:hAnsi="Times New Roman" w:eastAsia="宋体" w:cs="Times New Roman"/>
                      <w:b w:val="0"/>
                      <w:bCs/>
                      <w:sz w:val="21"/>
                      <w:szCs w:val="21"/>
                      <w:lang w:val="en-US" w:eastAsia="zh-CN"/>
                    </w:rPr>
                    <w:t>15</w:t>
                  </w:r>
                </w:p>
              </w:tc>
              <w:tc>
                <w:tcPr>
                  <w:tcW w:w="11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减少</w:t>
                  </w:r>
                  <w:r>
                    <w:rPr>
                      <w:rFonts w:hint="default" w:ascii="Times New Roman" w:hAnsi="Times New Roman" w:eastAsia="宋体" w:cs="Times New Roman"/>
                      <w:b w:val="0"/>
                      <w:bCs/>
                      <w:sz w:val="21"/>
                      <w:szCs w:val="21"/>
                      <w:lang w:val="en-US" w:eastAsia="zh-CN"/>
                    </w:rPr>
                    <w:t>18</w:t>
                  </w:r>
                </w:p>
              </w:tc>
              <w:tc>
                <w:tcPr>
                  <w:tcW w:w="107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增加</w:t>
                  </w:r>
                  <w:r>
                    <w:rPr>
                      <w:rFonts w:hint="default" w:ascii="Times New Roman" w:hAnsi="Times New Roman" w:eastAsia="宋体" w:cs="Times New Roman"/>
                      <w:b w:val="0"/>
                      <w:bCs/>
                      <w:sz w:val="21"/>
                      <w:szCs w:val="21"/>
                      <w:lang w:val="en-US" w:eastAsia="zh-CN"/>
                    </w:rPr>
                    <w:t>1</w:t>
                  </w:r>
                </w:p>
              </w:tc>
              <w:tc>
                <w:tcPr>
                  <w:tcW w:w="10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增加</w:t>
                  </w:r>
                  <w:r>
                    <w:rPr>
                      <w:rFonts w:hint="default" w:ascii="Times New Roman" w:hAnsi="Times New Roman" w:eastAsia="宋体" w:cs="Times New Roman"/>
                      <w:b w:val="0"/>
                      <w:bCs/>
                      <w:sz w:val="21"/>
                      <w:szCs w:val="21"/>
                      <w:lang w:val="en-US" w:eastAsia="zh-CN"/>
                    </w:rPr>
                    <w:t>3</w:t>
                  </w:r>
                </w:p>
              </w:tc>
              <w:tc>
                <w:tcPr>
                  <w:tcW w:w="11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补充监测：</w:t>
            </w:r>
          </w:p>
          <w:p>
            <w:pPr>
              <w:pStyle w:val="52"/>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32"/>
                <w:highlight w:val="none"/>
                <w:lang w:eastAsia="zh-CN"/>
              </w:rPr>
              <w:t>据《建设项目环境影响报告表编制技术指南》，项目可引用</w:t>
            </w:r>
            <w:r>
              <w:rPr>
                <w:rFonts w:hint="default" w:ascii="Times New Roman" w:hAnsi="Times New Roman" w:eastAsia="宋体" w:cs="Times New Roman"/>
                <w:color w:val="auto"/>
                <w:sz w:val="24"/>
                <w:szCs w:val="32"/>
                <w:highlight w:val="none"/>
                <w:lang w:val="en-US" w:eastAsia="zh-CN"/>
              </w:rPr>
              <w:t>5000m范围内现有环境质量现状监测数据，</w:t>
            </w:r>
            <w:r>
              <w:rPr>
                <w:rFonts w:hint="default" w:ascii="Times New Roman" w:hAnsi="Times New Roman" w:eastAsia="宋体" w:cs="Times New Roman"/>
                <w:color w:val="auto"/>
                <w:sz w:val="24"/>
              </w:rPr>
              <w:t>大气污染物环境空气现状检测内容如下</w:t>
            </w:r>
            <w:r>
              <w:rPr>
                <w:rFonts w:hint="eastAsia" w:ascii="Times New Roman" w:hAnsi="Times New Roman" w:eastAsia="宋体" w:cs="Times New Roman"/>
                <w:color w:val="auto"/>
                <w:sz w:val="24"/>
                <w:lang w:eastAsia="zh-CN"/>
              </w:rPr>
              <w:t>：</w:t>
            </w:r>
          </w:p>
          <w:p>
            <w:pPr>
              <w:pStyle w:val="5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kern w:val="2"/>
                <w:sz w:val="24"/>
                <w:szCs w:val="24"/>
                <w:lang w:val="en-US" w:eastAsia="zh-CN" w:bidi="ar-SA"/>
              </w:rPr>
              <w:t>表3-3</w:t>
            </w:r>
            <w:r>
              <w:rPr>
                <w:rFonts w:hint="default" w:ascii="Times New Roman" w:hAnsi="Times New Roman" w:eastAsia="宋体" w:cs="Times New Roman"/>
                <w:b/>
                <w:bCs/>
                <w:color w:val="auto"/>
                <w:kern w:val="2"/>
                <w:sz w:val="24"/>
                <w:szCs w:val="24"/>
                <w:lang w:val="zh-CN" w:eastAsia="zh-CN" w:bidi="ar-SA"/>
              </w:rPr>
              <w:t>其他污染物补充监测点基本信息表</w:t>
            </w:r>
          </w:p>
          <w:tbl>
            <w:tblPr>
              <w:tblStyle w:val="22"/>
              <w:tblW w:w="8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1536"/>
              <w:gridCol w:w="1326"/>
              <w:gridCol w:w="902"/>
              <w:gridCol w:w="1170"/>
              <w:gridCol w:w="1170"/>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1118" w:type="dxa"/>
                  <w:vMerge w:val="restart"/>
                  <w:tcBorders>
                    <w:top w:val="single" w:color="000000" w:sz="12" w:space="0"/>
                    <w:left w:val="nil"/>
                  </w:tcBorders>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监测点</w:t>
                  </w:r>
                  <w:r>
                    <w:rPr>
                      <w:rFonts w:hint="eastAsia" w:ascii="Times New Roman" w:hAnsi="Times New Roman" w:eastAsia="宋体" w:cs="Times New Roman"/>
                      <w:color w:val="auto"/>
                      <w:szCs w:val="21"/>
                      <w:lang w:val="en-US" w:eastAsia="zh-CN"/>
                    </w:rPr>
                    <w:t>位置</w:t>
                  </w:r>
                </w:p>
              </w:tc>
              <w:tc>
                <w:tcPr>
                  <w:tcW w:w="2862" w:type="dxa"/>
                  <w:gridSpan w:val="2"/>
                  <w:tcBorders>
                    <w:top w:val="single" w:color="000000" w:sz="12"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监测点坐标/°</w:t>
                  </w:r>
                </w:p>
              </w:tc>
              <w:tc>
                <w:tcPr>
                  <w:tcW w:w="902" w:type="dxa"/>
                  <w:vMerge w:val="restart"/>
                  <w:tcBorders>
                    <w:top w:val="single" w:color="000000" w:sz="12"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监测因子</w:t>
                  </w:r>
                </w:p>
              </w:tc>
              <w:tc>
                <w:tcPr>
                  <w:tcW w:w="1170" w:type="dxa"/>
                  <w:vMerge w:val="restart"/>
                  <w:tcBorders>
                    <w:top w:val="single" w:color="000000" w:sz="12"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监测时段</w:t>
                  </w:r>
                </w:p>
              </w:tc>
              <w:tc>
                <w:tcPr>
                  <w:tcW w:w="1170" w:type="dxa"/>
                  <w:vMerge w:val="restart"/>
                  <w:tcBorders>
                    <w:top w:val="single" w:color="000000" w:sz="12"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相对厂址方位</w:t>
                  </w:r>
                </w:p>
              </w:tc>
              <w:tc>
                <w:tcPr>
                  <w:tcW w:w="1066" w:type="dxa"/>
                  <w:vMerge w:val="restart"/>
                  <w:tcBorders>
                    <w:top w:val="single" w:color="000000" w:sz="12" w:space="0"/>
                    <w:right w:val="nil"/>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0" w:hRule="atLeast"/>
              </w:trPr>
              <w:tc>
                <w:tcPr>
                  <w:tcW w:w="1118" w:type="dxa"/>
                  <w:vMerge w:val="continue"/>
                  <w:tcBorders>
                    <w:left w:val="nil"/>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p>
              </w:tc>
              <w:tc>
                <w:tcPr>
                  <w:tcW w:w="1536" w:type="dxa"/>
                  <w:tcBorders>
                    <w:top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X</w:t>
                  </w:r>
                </w:p>
              </w:tc>
              <w:tc>
                <w:tcPr>
                  <w:tcW w:w="1326" w:type="dxa"/>
                  <w:tcBorders>
                    <w:top w:val="single" w:color="auto" w:sz="4" w:space="0"/>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Y</w:t>
                  </w:r>
                </w:p>
              </w:tc>
              <w:tc>
                <w:tcPr>
                  <w:tcW w:w="902" w:type="dxa"/>
                  <w:vMerge w:val="continue"/>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p>
              </w:tc>
              <w:tc>
                <w:tcPr>
                  <w:tcW w:w="1170" w:type="dxa"/>
                  <w:vMerge w:val="continue"/>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p>
              </w:tc>
              <w:tc>
                <w:tcPr>
                  <w:tcW w:w="1170" w:type="dxa"/>
                  <w:vMerge w:val="continue"/>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p>
              </w:tc>
              <w:tc>
                <w:tcPr>
                  <w:tcW w:w="1066" w:type="dxa"/>
                  <w:vMerge w:val="continue"/>
                  <w:tcBorders>
                    <w:right w:val="nil"/>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trPr>
              <w:tc>
                <w:tcPr>
                  <w:tcW w:w="1118" w:type="dxa"/>
                  <w:tcBorders>
                    <w:left w:val="nil"/>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东京城镇振兴村</w:t>
                  </w:r>
                </w:p>
              </w:tc>
              <w:tc>
                <w:tcPr>
                  <w:tcW w:w="1536" w:type="dxa"/>
                  <w:tcBorders>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129°13′49.536″</w:t>
                  </w:r>
                </w:p>
              </w:tc>
              <w:tc>
                <w:tcPr>
                  <w:tcW w:w="1326" w:type="dxa"/>
                  <w:tcBorders>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44°7′34.028″</w:t>
                  </w:r>
                </w:p>
              </w:tc>
              <w:tc>
                <w:tcPr>
                  <w:tcW w:w="902" w:type="dxa"/>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TSP</w:t>
                  </w:r>
                </w:p>
              </w:tc>
              <w:tc>
                <w:tcPr>
                  <w:tcW w:w="1170" w:type="dxa"/>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lang w:val="en-US" w:eastAsia="zh-CN"/>
                    </w:rPr>
                    <w:t>22</w:t>
                  </w:r>
                  <w:r>
                    <w:rPr>
                      <w:rFonts w:hint="default"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val="en-US" w:eastAsia="zh-CN"/>
                    </w:rPr>
                    <w:t>27</w:t>
                  </w:r>
                  <w:r>
                    <w:rPr>
                      <w:rFonts w:hint="default" w:ascii="Times New Roman" w:hAnsi="Times New Roman" w:eastAsia="宋体" w:cs="Times New Roman"/>
                      <w:color w:val="auto"/>
                      <w:szCs w:val="21"/>
                      <w:lang w:val="en-US" w:eastAsia="zh-CN"/>
                    </w:rPr>
                    <w:t xml:space="preserve"> - </w:t>
                  </w: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29</w:t>
                  </w:r>
                </w:p>
              </w:tc>
              <w:tc>
                <w:tcPr>
                  <w:tcW w:w="1170" w:type="dxa"/>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EN</w:t>
                  </w:r>
                </w:p>
              </w:tc>
              <w:tc>
                <w:tcPr>
                  <w:tcW w:w="1066" w:type="dxa"/>
                  <w:tcBorders>
                    <w:bottom w:val="single" w:color="000000" w:sz="12" w:space="0"/>
                    <w:right w:val="nil"/>
                  </w:tcBorders>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747</w:t>
                  </w:r>
                </w:p>
              </w:tc>
            </w:tr>
          </w:tbl>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60" w:lineRule="auto"/>
              <w:ind w:left="431" w:right="0" w:hanging="431"/>
              <w:jc w:val="right"/>
              <w:textAlignment w:val="auto"/>
              <w:rPr>
                <w:rFonts w:hint="default" w:ascii="Times New Roman" w:hAnsi="Times New Roman" w:cs="Times New Roman"/>
                <w:b w:val="0"/>
                <w:bCs w:val="0"/>
                <w:color w:val="auto"/>
                <w:sz w:val="24"/>
                <w:szCs w:val="24"/>
                <w:lang w:val="en-US" w:eastAsia="zh-CN"/>
              </w:rPr>
            </w:pP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60" w:lineRule="auto"/>
              <w:ind w:left="431" w:right="0" w:hanging="431"/>
              <w:jc w:val="right"/>
              <w:textAlignment w:val="auto"/>
              <w:rPr>
                <w:rFonts w:hint="default" w:ascii="Times New Roman" w:hAnsi="Times New Roman" w:cs="Times New Roman"/>
                <w:b/>
                <w:bCs/>
                <w:color w:val="auto"/>
                <w:sz w:val="24"/>
                <w:szCs w:val="24"/>
                <w:lang w:val="en-US" w:eastAsia="zh-CN"/>
              </w:rPr>
            </w:pPr>
            <w:r>
              <w:rPr>
                <w:rFonts w:hint="default"/>
                <w:b/>
                <w:color w:val="auto"/>
                <w:sz w:val="28"/>
                <w:szCs w:val="28"/>
              </w:rPr>
              <w:drawing>
                <wp:anchor distT="0" distB="0" distL="114300" distR="114300" simplePos="0" relativeHeight="251676672" behindDoc="0" locked="0" layoutInCell="1" allowOverlap="1">
                  <wp:simplePos x="0" y="0"/>
                  <wp:positionH relativeFrom="column">
                    <wp:posOffset>4445</wp:posOffset>
                  </wp:positionH>
                  <wp:positionV relativeFrom="paragraph">
                    <wp:posOffset>-26035</wp:posOffset>
                  </wp:positionV>
                  <wp:extent cx="853440" cy="858520"/>
                  <wp:effectExtent l="0" t="0" r="3810" b="1778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1"/>
                          <a:stretch>
                            <a:fillRect/>
                          </a:stretch>
                        </pic:blipFill>
                        <pic:spPr>
                          <a:xfrm>
                            <a:off x="0" y="0"/>
                            <a:ext cx="853440" cy="858520"/>
                          </a:xfrm>
                          <a:prstGeom prst="rect">
                            <a:avLst/>
                          </a:prstGeom>
                          <a:noFill/>
                          <a:ln>
                            <a:noFill/>
                          </a:ln>
                        </pic:spPr>
                      </pic:pic>
                    </a:graphicData>
                  </a:graphic>
                </wp:anchor>
              </w:drawing>
            </w:r>
          </w:p>
          <w:p>
            <w:pPr>
              <w:keepNext w:val="0"/>
              <w:keepLines w:val="0"/>
              <w:suppressLineNumbers w:val="0"/>
              <w:spacing w:before="0" w:beforeAutospacing="0" w:after="0" w:afterAutospacing="0" w:line="360" w:lineRule="auto"/>
              <w:ind w:left="0" w:right="0" w:firstLine="482" w:firstLineChars="200"/>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eastAsia="zh-CN"/>
              </w:rPr>
              <w:t>图</w:t>
            </w:r>
            <w:r>
              <w:rPr>
                <w:rFonts w:hint="eastAsia" w:ascii="Times New Roman" w:hAnsi="Times New Roman" w:eastAsia="宋体" w:cs="Times New Roman"/>
                <w:b/>
                <w:bCs/>
                <w:color w:val="auto"/>
                <w:sz w:val="24"/>
                <w:lang w:val="en-US" w:eastAsia="zh-CN"/>
              </w:rPr>
              <w:t>3-1项目与监测点距离测量图</w:t>
            </w:r>
          </w:p>
          <w:p>
            <w:pPr>
              <w:pStyle w:val="52"/>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宋体" w:hAnsi="Calibri" w:eastAsia="宋体" w:cs="Times New Roman"/>
                <w:b/>
                <w:bCs/>
                <w:color w:val="auto"/>
                <w:kern w:val="2"/>
                <w:sz w:val="24"/>
                <w:szCs w:val="24"/>
                <w:lang w:val="en-US" w:eastAsia="zh-CN" w:bidi="ar-SA"/>
              </w:rPr>
              <w:t>表3</w:t>
            </w:r>
            <w:r>
              <w:rPr>
                <w:rFonts w:hint="eastAsia" w:ascii="宋体" w:hAnsi="Calibri" w:eastAsia="宋体" w:cs="Times New Roman"/>
                <w:b/>
                <w:bCs/>
                <w:color w:val="auto"/>
                <w:kern w:val="2"/>
                <w:sz w:val="24"/>
                <w:szCs w:val="24"/>
                <w:lang w:val="en-US" w:eastAsia="zh-CN" w:bidi="ar-SA"/>
              </w:rPr>
              <w:t>-4环境质量现状监测结果表</w:t>
            </w:r>
            <w:r>
              <w:rPr>
                <w:rFonts w:hint="eastAsia" w:ascii="宋体" w:hAnsi="Calibri" w:eastAsia="宋体" w:cs="Times New Roman"/>
                <w:color w:val="auto"/>
                <w:kern w:val="2"/>
                <w:sz w:val="24"/>
                <w:szCs w:val="24"/>
                <w:lang w:val="en-US" w:eastAsia="zh-CN" w:bidi="ar-SA"/>
              </w:rPr>
              <w:t>（单位：mg/m</w:t>
            </w:r>
            <w:r>
              <w:rPr>
                <w:rFonts w:hint="eastAsia" w:ascii="宋体" w:hAnsi="Calibri" w:eastAsia="宋体" w:cs="Times New Roman"/>
                <w:color w:val="auto"/>
                <w:kern w:val="2"/>
                <w:sz w:val="24"/>
                <w:szCs w:val="24"/>
                <w:vertAlign w:val="superscript"/>
                <w:lang w:val="en-US" w:eastAsia="zh-CN" w:bidi="ar-SA"/>
              </w:rPr>
              <w:t>3</w:t>
            </w:r>
            <w:r>
              <w:rPr>
                <w:rFonts w:hint="eastAsia" w:ascii="宋体" w:hAnsi="Calibri" w:eastAsia="宋体" w:cs="Times New Roman"/>
                <w:color w:val="auto"/>
                <w:kern w:val="2"/>
                <w:sz w:val="24"/>
                <w:szCs w:val="24"/>
                <w:lang w:val="en-US" w:eastAsia="zh-CN" w:bidi="ar-SA"/>
              </w:rPr>
              <w:t>）</w:t>
            </w:r>
          </w:p>
          <w:tbl>
            <w:tblPr>
              <w:tblStyle w:val="23"/>
              <w:tblW w:w="82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620"/>
              <w:gridCol w:w="1635"/>
              <w:gridCol w:w="1939"/>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采样位置</w:t>
                  </w: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采样时间</w:t>
                  </w:r>
                </w:p>
              </w:tc>
              <w:tc>
                <w:tcPr>
                  <w:tcW w:w="16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检测项目</w:t>
                  </w: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样品编号</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厂界下风向</w:t>
                  </w: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2022.6.27</w:t>
                  </w:r>
                </w:p>
              </w:tc>
              <w:tc>
                <w:tcPr>
                  <w:tcW w:w="163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总悬浮颗粒物</w:t>
                  </w: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QTSP3220280101</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2022.6.28</w:t>
                  </w:r>
                </w:p>
              </w:tc>
              <w:tc>
                <w:tcPr>
                  <w:tcW w:w="163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QTSP3220280102</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2022.6.29</w:t>
                  </w:r>
                </w:p>
              </w:tc>
              <w:tc>
                <w:tcPr>
                  <w:tcW w:w="163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QTSP3220280103</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0.139</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由检测结果可知，本项目颗粒物的最大值为0.164</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最大占标率为54.6%，</w:t>
            </w:r>
            <w:r>
              <w:rPr>
                <w:rFonts w:hint="default" w:ascii="Times New Roman" w:hAnsi="Times New Roman" w:cs="Times New Roman"/>
                <w:color w:val="auto"/>
                <w:sz w:val="24"/>
                <w:szCs w:val="24"/>
                <w:lang w:val="en-US" w:eastAsia="zh-CN"/>
              </w:rPr>
              <w:t>满足《环境空气质量标准》（GB3095-2012）</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val="en-US" w:eastAsia="zh-CN"/>
              </w:rPr>
              <w:t>二级</w:t>
            </w:r>
            <w:r>
              <w:rPr>
                <w:rFonts w:hint="eastAsia" w:ascii="Times New Roman" w:hAnsi="Times New Roman" w:cs="Times New Roman"/>
                <w:color w:val="auto"/>
                <w:sz w:val="24"/>
                <w:szCs w:val="24"/>
                <w:lang w:val="en-US" w:eastAsia="zh-CN"/>
              </w:rPr>
              <w:t>标准</w:t>
            </w:r>
            <w:r>
              <w:rPr>
                <w:rFonts w:hint="default" w:ascii="Times New Roman" w:hAnsi="Times New Roman" w:cs="Times New Roman"/>
                <w:color w:val="auto"/>
                <w:sz w:val="24"/>
                <w:szCs w:val="24"/>
                <w:lang w:val="en-US" w:eastAsia="zh-CN"/>
              </w:rPr>
              <w:t>限值。本项目所在区域空气质量良好。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rPr>
              <w:t>地表水环境质量现状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本项目位于黑龙江省牡丹江市宁安市东京城镇振兴村，</w:t>
            </w:r>
            <w:r>
              <w:rPr>
                <w:rFonts w:hint="default" w:ascii="Times New Roman" w:hAnsi="Times New Roman" w:eastAsia="宋体" w:cs="Times New Roman"/>
                <w:color w:val="auto"/>
                <w:sz w:val="24"/>
                <w:szCs w:val="24"/>
                <w:lang w:val="en-US" w:eastAsia="zh-CN"/>
              </w:rPr>
              <w:t>所属区域无环境监测网数据，本项目采用牡丹江地区2021年发布的环境质量公报作为现状评价标准。</w:t>
            </w:r>
            <w:r>
              <w:rPr>
                <w:rFonts w:hint="default" w:ascii="Times New Roman" w:hAnsi="Times New Roman" w:eastAsia="宋体" w:cs="Times New Roman"/>
                <w:color w:val="auto"/>
                <w:sz w:val="24"/>
                <w:szCs w:val="24"/>
                <w:lang w:val="zh-CN"/>
              </w:rPr>
              <w:t>根据牡丹江市20</w:t>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年环境质量公报，本项目</w:t>
            </w:r>
            <w:r>
              <w:rPr>
                <w:rFonts w:hint="default" w:ascii="Times New Roman" w:hAnsi="Times New Roman" w:eastAsia="宋体" w:cs="Times New Roman"/>
                <w:color w:val="auto"/>
                <w:sz w:val="24"/>
                <w:szCs w:val="24"/>
                <w:lang w:val="en-US" w:eastAsia="zh-CN"/>
              </w:rPr>
              <w:t>地表水</w:t>
            </w:r>
            <w:r>
              <w:rPr>
                <w:rFonts w:hint="default" w:ascii="Times New Roman" w:hAnsi="Times New Roman" w:eastAsia="宋体" w:cs="Times New Roman"/>
                <w:color w:val="auto"/>
                <w:sz w:val="24"/>
                <w:szCs w:val="24"/>
                <w:lang w:val="zh-CN"/>
              </w:rPr>
              <w:t>环境质量</w:t>
            </w:r>
            <w:r>
              <w:rPr>
                <w:rFonts w:hint="default" w:ascii="Times New Roman" w:hAnsi="Times New Roman" w:eastAsia="宋体" w:cs="Times New Roman"/>
                <w:color w:val="auto"/>
                <w:sz w:val="24"/>
                <w:szCs w:val="24"/>
                <w:lang w:val="en-US" w:eastAsia="zh-CN"/>
              </w:rPr>
              <w:t>现状如下：</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
                <w:kern w:val="0"/>
                <w:sz w:val="24"/>
                <w:szCs w:val="24"/>
                <w:lang w:val="en-US" w:eastAsia="zh-CN"/>
              </w:rPr>
              <w:t>1、</w:t>
            </w:r>
            <w:r>
              <w:rPr>
                <w:rFonts w:hint="default" w:ascii="Times New Roman" w:hAnsi="Times New Roman" w:eastAsia="宋体" w:cs="Times New Roman"/>
                <w:b/>
                <w:kern w:val="0"/>
                <w:sz w:val="24"/>
                <w:szCs w:val="24"/>
              </w:rPr>
              <w:t>水污染防治考核断面水环境质量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rPr>
              <w:t>202</w:t>
            </w:r>
            <w:r>
              <w:rPr>
                <w:rFonts w:hint="default" w:ascii="Times New Roman" w:hAnsi="Times New Roman" w:eastAsia="宋体"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rPr>
              <w:t>年</w:t>
            </w:r>
            <w:r>
              <w:rPr>
                <w:rFonts w:hint="default" w:ascii="Times New Roman" w:hAnsi="Times New Roman" w:eastAsia="宋体" w:cs="Times New Roman"/>
                <w:b w:val="0"/>
                <w:bCs/>
                <w:color w:val="auto"/>
                <w:sz w:val="24"/>
                <w:szCs w:val="24"/>
                <w:lang w:eastAsia="zh-CN"/>
              </w:rPr>
              <w:t>水污染防治考核断面优于</w:t>
            </w:r>
            <w:r>
              <w:rPr>
                <w:rFonts w:hint="default" w:ascii="Times New Roman" w:hAnsi="Times New Roman" w:eastAsia="宋体" w:cs="Times New Roman"/>
                <w:color w:val="auto"/>
                <w:sz w:val="24"/>
                <w:szCs w:val="24"/>
              </w:rPr>
              <w:t>Ⅲ类水质比例为</w:t>
            </w:r>
            <w:r>
              <w:rPr>
                <w:rFonts w:hint="default" w:ascii="Times New Roman" w:hAnsi="Times New Roman" w:eastAsia="宋体" w:cs="Times New Roman"/>
                <w:color w:val="auto"/>
                <w:sz w:val="24"/>
                <w:szCs w:val="24"/>
                <w:lang w:val="en-US" w:eastAsia="zh-CN"/>
              </w:rPr>
              <w:t>91.7</w:t>
            </w:r>
            <w:r>
              <w:rPr>
                <w:rFonts w:hint="default" w:ascii="Times New Roman" w:hAnsi="Times New Roman" w:eastAsia="宋体" w:cs="Times New Roman"/>
                <w:color w:val="auto"/>
                <w:sz w:val="24"/>
                <w:szCs w:val="24"/>
              </w:rPr>
              <w:t>%，达到年度考核目标（</w:t>
            </w:r>
            <w:r>
              <w:rPr>
                <w:rFonts w:hint="default"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rPr>
              <w:t>%）。与20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年同期相比，考核断面水质达标比例</w:t>
            </w:r>
            <w:r>
              <w:rPr>
                <w:rFonts w:hint="default" w:ascii="Times New Roman" w:hAnsi="Times New Roman" w:eastAsia="宋体" w:cs="Times New Roman"/>
                <w:color w:val="auto"/>
                <w:sz w:val="24"/>
                <w:szCs w:val="24"/>
                <w:lang w:eastAsia="zh-CN"/>
              </w:rPr>
              <w:t>上升了</w:t>
            </w:r>
            <w:r>
              <w:rPr>
                <w:rFonts w:hint="default" w:ascii="Times New Roman" w:hAnsi="Times New Roman" w:eastAsia="宋体" w:cs="Times New Roman"/>
                <w:color w:val="auto"/>
                <w:sz w:val="24"/>
                <w:szCs w:val="24"/>
                <w:lang w:val="en-US" w:eastAsia="zh-CN"/>
              </w:rPr>
              <w:t>16.7%</w:t>
            </w:r>
            <w:r>
              <w:rPr>
                <w:rFonts w:hint="default" w:ascii="Times New Roman" w:hAnsi="Times New Roman" w:eastAsia="宋体" w:cs="Times New Roman"/>
                <w:color w:val="auto"/>
                <w:sz w:val="24"/>
                <w:szCs w:val="24"/>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562" w:firstLineChars="200"/>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cs="Times New Roman"/>
                <w:b/>
                <w:bCs w:val="0"/>
                <w:color w:val="auto"/>
                <w:spacing w:val="20"/>
                <w:sz w:val="24"/>
                <w:szCs w:val="24"/>
                <w:lang w:val="en-US" w:eastAsia="zh-CN"/>
              </w:rPr>
              <w:t xml:space="preserve">表3-5 </w:t>
            </w:r>
            <w:r>
              <w:rPr>
                <w:rFonts w:hint="default" w:ascii="Times New Roman" w:hAnsi="Times New Roman" w:eastAsia="宋体" w:cs="Times New Roman"/>
                <w:b/>
                <w:bCs w:val="0"/>
                <w:color w:val="auto"/>
                <w:spacing w:val="20"/>
                <w:sz w:val="24"/>
                <w:szCs w:val="24"/>
              </w:rPr>
              <w:t>20</w:t>
            </w:r>
            <w:r>
              <w:rPr>
                <w:rFonts w:hint="default" w:ascii="Times New Roman" w:hAnsi="Times New Roman" w:eastAsia="宋体" w:cs="Times New Roman"/>
                <w:b/>
                <w:bCs w:val="0"/>
                <w:color w:val="auto"/>
                <w:spacing w:val="20"/>
                <w:sz w:val="24"/>
                <w:szCs w:val="24"/>
                <w:lang w:val="en-US" w:eastAsia="zh-CN"/>
              </w:rPr>
              <w:t>20</w:t>
            </w:r>
            <w:r>
              <w:rPr>
                <w:rFonts w:hint="default" w:ascii="Times New Roman" w:hAnsi="Times New Roman" w:eastAsia="宋体" w:cs="Times New Roman"/>
                <w:b/>
                <w:bCs w:val="0"/>
                <w:color w:val="auto"/>
                <w:spacing w:val="20"/>
                <w:sz w:val="24"/>
                <w:szCs w:val="24"/>
              </w:rPr>
              <w:t>年、202</w:t>
            </w:r>
            <w:r>
              <w:rPr>
                <w:rFonts w:hint="default" w:ascii="Times New Roman" w:hAnsi="Times New Roman" w:eastAsia="宋体" w:cs="Times New Roman"/>
                <w:b/>
                <w:bCs w:val="0"/>
                <w:color w:val="auto"/>
                <w:spacing w:val="20"/>
                <w:sz w:val="24"/>
                <w:szCs w:val="24"/>
                <w:lang w:val="en-US" w:eastAsia="zh-CN"/>
              </w:rPr>
              <w:t>1</w:t>
            </w:r>
            <w:r>
              <w:rPr>
                <w:rFonts w:hint="default" w:ascii="Times New Roman" w:hAnsi="Times New Roman" w:eastAsia="宋体" w:cs="Times New Roman"/>
                <w:b/>
                <w:bCs w:val="0"/>
                <w:color w:val="auto"/>
                <w:spacing w:val="20"/>
                <w:sz w:val="24"/>
                <w:szCs w:val="24"/>
              </w:rPr>
              <w:t>年考核断面水质类别</w:t>
            </w:r>
            <w:r>
              <w:rPr>
                <w:rFonts w:hint="eastAsia" w:ascii="Times New Roman" w:hAnsi="Times New Roman" w:cs="Times New Roman"/>
                <w:b/>
                <w:bCs w:val="0"/>
                <w:color w:val="auto"/>
                <w:spacing w:val="20"/>
                <w:sz w:val="24"/>
                <w:szCs w:val="24"/>
                <w:lang w:val="en-US" w:eastAsia="zh-CN"/>
              </w:rPr>
              <w:t>表</w:t>
            </w:r>
          </w:p>
          <w:tbl>
            <w:tblPr>
              <w:tblStyle w:val="22"/>
              <w:tblW w:w="849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724"/>
              <w:gridCol w:w="2423"/>
              <w:gridCol w:w="2371"/>
              <w:gridCol w:w="1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序号</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断面名称</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20</w:t>
                  </w:r>
                  <w:r>
                    <w:rPr>
                      <w:rFonts w:hint="default" w:ascii="Times New Roman" w:hAnsi="Times New Roman" w:eastAsia="宋体" w:cs="Times New Roman"/>
                      <w:b w:val="0"/>
                      <w:bCs/>
                      <w:color w:val="auto"/>
                      <w:kern w:val="0"/>
                      <w:sz w:val="21"/>
                      <w:szCs w:val="21"/>
                      <w:lang w:val="en-US" w:eastAsia="zh-CN"/>
                    </w:rPr>
                    <w:t>20</w:t>
                  </w:r>
                  <w:r>
                    <w:rPr>
                      <w:rFonts w:hint="default" w:ascii="Times New Roman" w:hAnsi="Times New Roman" w:eastAsia="宋体" w:cs="Times New Roman"/>
                      <w:b w:val="0"/>
                      <w:bCs/>
                      <w:color w:val="auto"/>
                      <w:kern w:val="0"/>
                      <w:sz w:val="21"/>
                      <w:szCs w:val="21"/>
                    </w:rPr>
                    <w:t>年</w:t>
                  </w:r>
                  <w:r>
                    <w:rPr>
                      <w:rFonts w:hint="default" w:ascii="Times New Roman" w:hAnsi="Times New Roman" w:eastAsia="宋体" w:cs="Times New Roman"/>
                      <w:b w:val="0"/>
                      <w:bCs/>
                      <w:color w:val="auto"/>
                      <w:kern w:val="0"/>
                      <w:sz w:val="21"/>
                      <w:szCs w:val="21"/>
                      <w:lang w:val="en-US" w:eastAsia="zh-CN"/>
                    </w:rPr>
                    <w:t>1-12</w:t>
                  </w:r>
                  <w:r>
                    <w:rPr>
                      <w:rFonts w:hint="default" w:ascii="Times New Roman" w:hAnsi="Times New Roman" w:eastAsia="宋体" w:cs="Times New Roman"/>
                      <w:b w:val="0"/>
                      <w:bCs/>
                      <w:color w:val="auto"/>
                      <w:kern w:val="0"/>
                      <w:sz w:val="21"/>
                      <w:szCs w:val="21"/>
                    </w:rPr>
                    <w:t>月份断面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水质及主要超标因子</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20</w:t>
                  </w:r>
                  <w:r>
                    <w:rPr>
                      <w:rFonts w:hint="default" w:ascii="Times New Roman" w:hAnsi="Times New Roman" w:eastAsia="宋体" w:cs="Times New Roman"/>
                      <w:b w:val="0"/>
                      <w:bCs/>
                      <w:color w:val="auto"/>
                      <w:kern w:val="0"/>
                      <w:sz w:val="21"/>
                      <w:szCs w:val="21"/>
                      <w:lang w:val="en-US" w:eastAsia="zh-CN"/>
                    </w:rPr>
                    <w:t>21</w:t>
                  </w:r>
                  <w:r>
                    <w:rPr>
                      <w:rFonts w:hint="default" w:ascii="Times New Roman" w:hAnsi="Times New Roman" w:eastAsia="宋体" w:cs="Times New Roman"/>
                      <w:b w:val="0"/>
                      <w:bCs/>
                      <w:color w:val="auto"/>
                      <w:kern w:val="0"/>
                      <w:sz w:val="21"/>
                      <w:szCs w:val="21"/>
                    </w:rPr>
                    <w:t>年</w:t>
                  </w:r>
                  <w:r>
                    <w:rPr>
                      <w:rFonts w:hint="default" w:ascii="Times New Roman" w:hAnsi="Times New Roman" w:eastAsia="宋体" w:cs="Times New Roman"/>
                      <w:b w:val="0"/>
                      <w:bCs/>
                      <w:color w:val="auto"/>
                      <w:kern w:val="0"/>
                      <w:sz w:val="21"/>
                      <w:szCs w:val="21"/>
                      <w:lang w:val="en-US" w:eastAsia="zh-CN"/>
                    </w:rPr>
                    <w:t>1-12</w:t>
                  </w:r>
                  <w:r>
                    <w:rPr>
                      <w:rFonts w:hint="default" w:ascii="Times New Roman" w:hAnsi="Times New Roman" w:eastAsia="宋体" w:cs="Times New Roman"/>
                      <w:b w:val="0"/>
                      <w:bCs/>
                      <w:color w:val="auto"/>
                      <w:kern w:val="0"/>
                      <w:sz w:val="21"/>
                      <w:szCs w:val="21"/>
                    </w:rPr>
                    <w:t>月份断面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水质及主要超标因子</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202</w:t>
                  </w:r>
                  <w:r>
                    <w:rPr>
                      <w:rFonts w:hint="default" w:ascii="Times New Roman" w:hAnsi="Times New Roman" w:eastAsia="宋体" w:cs="Times New Roman"/>
                      <w:b w:val="0"/>
                      <w:bCs/>
                      <w:color w:val="auto"/>
                      <w:kern w:val="0"/>
                      <w:sz w:val="21"/>
                      <w:szCs w:val="21"/>
                      <w:lang w:val="en-US" w:eastAsia="zh-CN"/>
                    </w:rPr>
                    <w:t>1</w:t>
                  </w:r>
                  <w:r>
                    <w:rPr>
                      <w:rFonts w:hint="default" w:ascii="Times New Roman" w:hAnsi="Times New Roman" w:eastAsia="宋体" w:cs="Times New Roman"/>
                      <w:b w:val="0"/>
                      <w:bCs/>
                      <w:color w:val="auto"/>
                      <w:kern w:val="0"/>
                      <w:sz w:val="21"/>
                      <w:szCs w:val="21"/>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水质目标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1</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果树场</w:t>
                  </w:r>
                  <w:r>
                    <w:rPr>
                      <w:rFonts w:hint="default" w:ascii="Times New Roman" w:hAnsi="Times New Roman" w:eastAsia="宋体" w:cs="Times New Roman"/>
                      <w:b w:val="0"/>
                      <w:bCs/>
                      <w:color w:val="auto"/>
                      <w:sz w:val="21"/>
                      <w:szCs w:val="21"/>
                      <w:lang w:eastAsia="zh-CN"/>
                    </w:rPr>
                    <w:t>、电视塔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（镜泊湖）</w:t>
                  </w:r>
                </w:p>
              </w:tc>
              <w:tc>
                <w:tcPr>
                  <w:tcW w:w="242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海浪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（牡丹江）</w:t>
                  </w:r>
                </w:p>
              </w:tc>
              <w:tc>
                <w:tcPr>
                  <w:tcW w:w="242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3</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柴河铁路桥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（牡丹江）</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4</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（莲花湖）</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pacing w:val="20"/>
                      <w:kern w:val="0"/>
                      <w:sz w:val="21"/>
                      <w:szCs w:val="21"/>
                    </w:rPr>
                    <w:t>Ⅳ</w:t>
                  </w:r>
                  <w:r>
                    <w:rPr>
                      <w:rFonts w:hint="default" w:ascii="Times New Roman" w:hAnsi="Times New Roman" w:eastAsia="宋体" w:cs="Times New Roman"/>
                      <w:b w:val="0"/>
                      <w:bCs/>
                      <w:color w:val="auto"/>
                      <w:kern w:val="0"/>
                      <w:sz w:val="21"/>
                      <w:szCs w:val="21"/>
                    </w:rPr>
                    <w:t>总磷</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pacing w:val="20"/>
                      <w:kern w:val="0"/>
                      <w:sz w:val="21"/>
                      <w:szCs w:val="21"/>
                    </w:rPr>
                    <w:t>Ⅳ</w:t>
                  </w:r>
                  <w:r>
                    <w:rPr>
                      <w:rFonts w:hint="default" w:ascii="Times New Roman" w:hAnsi="Times New Roman" w:eastAsia="宋体" w:cs="Times New Roman"/>
                      <w:b w:val="0"/>
                      <w:bCs/>
                      <w:color w:val="auto"/>
                      <w:kern w:val="0"/>
                      <w:sz w:val="21"/>
                      <w:szCs w:val="21"/>
                    </w:rPr>
                    <w:t>总磷</w:t>
                  </w:r>
                </w:p>
              </w:tc>
              <w:tc>
                <w:tcPr>
                  <w:tcW w:w="12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5</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花脸沟</w:t>
                  </w:r>
                  <w:r>
                    <w:rPr>
                      <w:rFonts w:hint="default" w:ascii="Times New Roman" w:hAnsi="Times New Roman" w:eastAsia="宋体" w:cs="Times New Roman"/>
                      <w:b w:val="0"/>
                      <w:bCs/>
                      <w:color w:val="auto"/>
                      <w:sz w:val="21"/>
                      <w:szCs w:val="21"/>
                    </w:rPr>
                    <w:t>（牡丹江）</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6</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海浪河口内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（海浪河）</w:t>
                  </w:r>
                </w:p>
              </w:tc>
              <w:tc>
                <w:tcPr>
                  <w:tcW w:w="242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7</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三岔屯</w:t>
                  </w:r>
                  <w:r>
                    <w:rPr>
                      <w:rFonts w:hint="default" w:ascii="Times New Roman" w:hAnsi="Times New Roman" w:eastAsia="宋体" w:cs="Times New Roman"/>
                      <w:b w:val="0"/>
                      <w:bCs/>
                      <w:color w:val="auto"/>
                      <w:sz w:val="21"/>
                      <w:szCs w:val="21"/>
                    </w:rPr>
                    <w:t>（穆棱河）</w:t>
                  </w:r>
                </w:p>
              </w:tc>
              <w:tc>
                <w:tcPr>
                  <w:tcW w:w="242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spacing w:val="20"/>
                      <w:kern w:val="0"/>
                      <w:sz w:val="21"/>
                      <w:szCs w:val="21"/>
                    </w:rPr>
                    <w:t>Ⅳ</w:t>
                  </w:r>
                  <w:r>
                    <w:rPr>
                      <w:rFonts w:hint="default" w:ascii="Times New Roman" w:hAnsi="Times New Roman" w:eastAsia="宋体" w:cs="Times New Roman"/>
                      <w:b w:val="0"/>
                      <w:bCs/>
                      <w:color w:val="auto"/>
                      <w:kern w:val="0"/>
                      <w:sz w:val="21"/>
                      <w:szCs w:val="21"/>
                    </w:rPr>
                    <w:t>高锰酸盐指数</w:t>
                  </w:r>
                  <w:r>
                    <w:rPr>
                      <w:rFonts w:hint="default" w:ascii="Times New Roman" w:hAnsi="Times New Roman" w:eastAsia="宋体" w:cs="Times New Roman"/>
                      <w:b w:val="0"/>
                      <w:bCs/>
                      <w:color w:val="auto"/>
                      <w:kern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eastAsia="zh-CN"/>
                    </w:rPr>
                    <w:t>化学需氧量</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8</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乌斯浑河林口县</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eastAsia="zh-CN"/>
                    </w:rPr>
                    <w:t>乌斯浑河</w:t>
                  </w:r>
                  <w:r>
                    <w:rPr>
                      <w:rFonts w:hint="default" w:ascii="Times New Roman" w:hAnsi="Times New Roman" w:eastAsia="宋体" w:cs="Times New Roman"/>
                      <w:b w:val="0"/>
                      <w:bCs/>
                      <w:color w:val="auto"/>
                      <w:sz w:val="21"/>
                      <w:szCs w:val="21"/>
                    </w:rPr>
                    <w:t>）</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9</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碱场桥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（穆棱河）</w:t>
                  </w:r>
                </w:p>
              </w:tc>
              <w:tc>
                <w:tcPr>
                  <w:tcW w:w="242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pacing w:val="20"/>
                      <w:kern w:val="0"/>
                      <w:sz w:val="21"/>
                      <w:szCs w:val="21"/>
                    </w:rPr>
                    <w:t>Ⅳ</w:t>
                  </w:r>
                  <w:r>
                    <w:rPr>
                      <w:rFonts w:hint="default" w:ascii="Times New Roman" w:hAnsi="Times New Roman" w:eastAsia="宋体" w:cs="Times New Roman"/>
                      <w:b w:val="0"/>
                      <w:bCs/>
                      <w:color w:val="auto"/>
                      <w:kern w:val="0"/>
                      <w:sz w:val="21"/>
                      <w:szCs w:val="21"/>
                    </w:rPr>
                    <w:t>高锰酸盐指数</w:t>
                  </w:r>
                </w:p>
              </w:tc>
              <w:tc>
                <w:tcPr>
                  <w:tcW w:w="237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10</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小地营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（大绥芬河）</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11</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道河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（小绥芬河）</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pacing w:val="20"/>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7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12</w:t>
                  </w:r>
                </w:p>
              </w:tc>
              <w:tc>
                <w:tcPr>
                  <w:tcW w:w="17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三岔口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（绥芬河）</w:t>
                  </w:r>
                </w:p>
              </w:tc>
              <w:tc>
                <w:tcPr>
                  <w:tcW w:w="24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23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rPr>
                    <w:t>Ⅲ</w:t>
                  </w:r>
                </w:p>
              </w:tc>
              <w:tc>
                <w:tcPr>
                  <w:tcW w:w="12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rPr>
                    <w:t>Ⅲ</w:t>
                  </w:r>
                </w:p>
              </w:tc>
            </w:tr>
          </w:tbl>
          <w:p>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2" w:firstLineChars="20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、饮用水源地水质状况</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202</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年西水源和铁路水源两处</w:t>
            </w:r>
            <w:r>
              <w:rPr>
                <w:rFonts w:hint="default" w:ascii="Times New Roman" w:hAnsi="Times New Roman" w:eastAsia="宋体" w:cs="Times New Roman"/>
                <w:color w:val="auto"/>
                <w:kern w:val="0"/>
                <w:sz w:val="24"/>
                <w:szCs w:val="24"/>
                <w:lang w:eastAsia="zh-CN"/>
              </w:rPr>
              <w:t>饮用水</w:t>
            </w:r>
            <w:r>
              <w:rPr>
                <w:rFonts w:hint="default" w:ascii="Times New Roman" w:hAnsi="Times New Roman" w:eastAsia="宋体" w:cs="Times New Roman"/>
                <w:color w:val="auto"/>
                <w:kern w:val="0"/>
                <w:sz w:val="24"/>
                <w:szCs w:val="24"/>
              </w:rPr>
              <w:t>水源地水质均符合集中式饮用水水源地水质要求。与20</w:t>
            </w:r>
            <w:r>
              <w:rPr>
                <w:rFonts w:hint="default" w:ascii="Times New Roman" w:hAnsi="Times New Roman" w:eastAsia="宋体" w:cs="Times New Roman"/>
                <w:color w:val="auto"/>
                <w:kern w:val="0"/>
                <w:sz w:val="24"/>
                <w:szCs w:val="24"/>
                <w:lang w:val="en-US" w:eastAsia="zh-CN"/>
              </w:rPr>
              <w:t>20</w:t>
            </w:r>
            <w:r>
              <w:rPr>
                <w:rFonts w:hint="default" w:ascii="Times New Roman" w:hAnsi="Times New Roman" w:eastAsia="宋体" w:cs="Times New Roman"/>
                <w:color w:val="auto"/>
                <w:kern w:val="0"/>
                <w:sz w:val="24"/>
                <w:szCs w:val="24"/>
              </w:rPr>
              <w:t>年同期相比，水源地水质无变化。</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三、</w:t>
            </w:r>
            <w:r>
              <w:rPr>
                <w:rFonts w:hint="default" w:ascii="Times New Roman" w:hAnsi="Times New Roman" w:eastAsia="宋体" w:cs="Times New Roman"/>
                <w:b/>
                <w:bCs/>
                <w:color w:val="auto"/>
                <w:sz w:val="24"/>
                <w:szCs w:val="24"/>
              </w:rPr>
              <w:t>声环境质量现状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本项目位于黑龙江省牡丹江市宁安市东京城镇振兴村，</w:t>
            </w:r>
            <w:r>
              <w:rPr>
                <w:rFonts w:hint="default" w:ascii="Times New Roman" w:hAnsi="Times New Roman" w:eastAsia="宋体" w:cs="Times New Roman"/>
                <w:color w:val="auto"/>
                <w:sz w:val="24"/>
                <w:szCs w:val="24"/>
                <w:lang w:val="en-US" w:eastAsia="zh-CN"/>
              </w:rPr>
              <w:t>所属区域无环境监测网数据，本项目采用牡丹江地区2021年发布的环境质量公报作为现状评价标准。</w:t>
            </w:r>
            <w:r>
              <w:rPr>
                <w:rFonts w:hint="default" w:ascii="Times New Roman" w:hAnsi="Times New Roman" w:eastAsia="宋体" w:cs="Times New Roman"/>
                <w:color w:val="auto"/>
                <w:sz w:val="24"/>
                <w:szCs w:val="24"/>
                <w:lang w:val="zh-CN"/>
              </w:rPr>
              <w:t>根据牡丹江市20</w:t>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年环境质量公报，本项目</w:t>
            </w:r>
            <w:r>
              <w:rPr>
                <w:rFonts w:hint="default" w:ascii="Times New Roman" w:hAnsi="Times New Roman" w:eastAsia="宋体" w:cs="Times New Roman"/>
                <w:color w:val="auto"/>
                <w:sz w:val="24"/>
                <w:szCs w:val="24"/>
                <w:lang w:val="en-US" w:eastAsia="zh-CN"/>
              </w:rPr>
              <w:t>声</w:t>
            </w:r>
            <w:r>
              <w:rPr>
                <w:rFonts w:hint="default" w:ascii="Times New Roman" w:hAnsi="Times New Roman" w:eastAsia="宋体" w:cs="Times New Roman"/>
                <w:color w:val="auto"/>
                <w:sz w:val="24"/>
                <w:szCs w:val="24"/>
                <w:lang w:val="zh-CN"/>
              </w:rPr>
              <w:t>环境质量</w:t>
            </w:r>
            <w:r>
              <w:rPr>
                <w:rFonts w:hint="default" w:ascii="Times New Roman" w:hAnsi="Times New Roman" w:eastAsia="宋体" w:cs="Times New Roman"/>
                <w:color w:val="auto"/>
                <w:sz w:val="24"/>
                <w:szCs w:val="24"/>
                <w:lang w:val="en-US" w:eastAsia="zh-CN"/>
              </w:rPr>
              <w:t>现状如下：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牡丹江市区区域声环境质量状况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2021</w:t>
            </w:r>
            <w:r>
              <w:rPr>
                <w:rFonts w:hint="default" w:ascii="Times New Roman" w:hAnsi="Times New Roman" w:eastAsia="宋体" w:cs="Times New Roman"/>
                <w:sz w:val="24"/>
                <w:szCs w:val="24"/>
              </w:rPr>
              <w:t>年牡丹江市区区域环境噪声平均等效声级为</w:t>
            </w:r>
            <w:r>
              <w:rPr>
                <w:rFonts w:hint="default" w:ascii="Times New Roman" w:hAnsi="Times New Roman" w:eastAsia="宋体" w:cs="Times New Roman"/>
                <w:color w:val="auto"/>
                <w:sz w:val="24"/>
                <w:szCs w:val="24"/>
                <w:lang w:val="en-US" w:eastAsia="zh-CN"/>
              </w:rPr>
              <w:t>58.6</w:t>
            </w:r>
            <w:r>
              <w:rPr>
                <w:rFonts w:hint="default" w:ascii="Times New Roman" w:hAnsi="Times New Roman" w:eastAsia="宋体" w:cs="Times New Roman"/>
                <w:sz w:val="24"/>
                <w:szCs w:val="24"/>
              </w:rPr>
              <w:t>分贝，声环境质量</w: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color w:val="auto"/>
                <w:sz w:val="24"/>
                <w:szCs w:val="24"/>
                <w:lang w:eastAsia="zh-CN"/>
              </w:rPr>
              <w:t>一般</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2、牡丹江市区道路交通声环境质量状况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2021</w:t>
            </w:r>
            <w:r>
              <w:rPr>
                <w:rFonts w:hint="default" w:ascii="Times New Roman" w:hAnsi="Times New Roman" w:eastAsia="宋体" w:cs="Times New Roman"/>
                <w:sz w:val="24"/>
                <w:szCs w:val="24"/>
              </w:rPr>
              <w:t>年牡丹江市区交通干线噪声平均等效声级为</w:t>
            </w:r>
            <w:r>
              <w:rPr>
                <w:rFonts w:hint="default" w:ascii="Times New Roman" w:hAnsi="Times New Roman" w:eastAsia="宋体" w:cs="Times New Roman"/>
                <w:color w:val="auto"/>
                <w:sz w:val="24"/>
                <w:szCs w:val="24"/>
                <w:lang w:val="en-US" w:eastAsia="zh-CN"/>
              </w:rPr>
              <w:t>66.9</w:t>
            </w:r>
            <w:r>
              <w:rPr>
                <w:rFonts w:hint="default" w:ascii="Times New Roman" w:hAnsi="Times New Roman" w:eastAsia="宋体" w:cs="Times New Roman"/>
                <w:sz w:val="24"/>
                <w:szCs w:val="24"/>
              </w:rPr>
              <w:t>分贝，声环境质量为</w:t>
            </w:r>
            <w:r>
              <w:rPr>
                <w:rFonts w:hint="default" w:ascii="Times New Roman" w:hAnsi="Times New Roman" w:eastAsia="宋体" w:cs="Times New Roman"/>
                <w:color w:val="auto"/>
                <w:sz w:val="24"/>
                <w:szCs w:val="24"/>
              </w:rPr>
              <w:t>好</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3、牡丹江市功能区声环境质量状况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2021</w:t>
            </w:r>
            <w:r>
              <w:rPr>
                <w:rFonts w:hint="default" w:ascii="Times New Roman" w:hAnsi="Times New Roman" w:eastAsia="宋体" w:cs="Times New Roman"/>
                <w:sz w:val="24"/>
                <w:szCs w:val="24"/>
              </w:rPr>
              <w:t>年牡丹江市区功能区</w:t>
            </w:r>
            <w:r>
              <w:rPr>
                <w:rFonts w:hint="default" w:ascii="Times New Roman" w:hAnsi="Times New Roman" w:eastAsia="宋体" w:cs="Times New Roman"/>
                <w:sz w:val="24"/>
                <w:szCs w:val="24"/>
                <w:lang w:eastAsia="zh-CN"/>
              </w:rPr>
              <w:t>昼间总达标率为</w:t>
            </w:r>
            <w:r>
              <w:rPr>
                <w:rFonts w:hint="default" w:ascii="Times New Roman" w:hAnsi="Times New Roman" w:eastAsia="宋体" w:cs="Times New Roman"/>
                <w:sz w:val="24"/>
                <w:szCs w:val="24"/>
                <w:lang w:val="en-US" w:eastAsia="zh-CN"/>
              </w:rPr>
              <w:t>80.6%，</w:t>
            </w:r>
            <w:r>
              <w:rPr>
                <w:rFonts w:hint="default" w:ascii="Times New Roman" w:hAnsi="Times New Roman" w:eastAsia="宋体" w:cs="Times New Roman"/>
                <w:sz w:val="24"/>
                <w:szCs w:val="24"/>
                <w:lang w:eastAsia="zh-CN"/>
              </w:rPr>
              <w:t>同比上升了</w:t>
            </w:r>
            <w:r>
              <w:rPr>
                <w:rFonts w:hint="default" w:ascii="Times New Roman" w:hAnsi="Times New Roman" w:eastAsia="宋体" w:cs="Times New Roman"/>
                <w:sz w:val="24"/>
                <w:szCs w:val="24"/>
                <w:lang w:val="en-US" w:eastAsia="zh-CN"/>
              </w:rPr>
              <w:t>8.4%</w:t>
            </w:r>
            <w:r>
              <w:rPr>
                <w:rFonts w:hint="default" w:ascii="Times New Roman" w:hAnsi="Times New Roman" w:eastAsia="宋体" w:cs="Times New Roman"/>
                <w:sz w:val="24"/>
                <w:szCs w:val="24"/>
                <w:lang w:eastAsia="zh-CN"/>
              </w:rPr>
              <w:t>；夜间总达标率为</w:t>
            </w:r>
            <w:r>
              <w:rPr>
                <w:rFonts w:hint="default" w:ascii="Times New Roman" w:hAnsi="Times New Roman" w:eastAsia="宋体" w:cs="Times New Roman"/>
                <w:sz w:val="24"/>
                <w:szCs w:val="24"/>
                <w:lang w:val="en-US" w:eastAsia="zh-CN"/>
              </w:rPr>
              <w:t>61.1%，</w:t>
            </w:r>
            <w:r>
              <w:rPr>
                <w:rFonts w:hint="default" w:ascii="Times New Roman" w:hAnsi="Times New Roman" w:eastAsia="宋体" w:cs="Times New Roman"/>
                <w:sz w:val="24"/>
                <w:szCs w:val="24"/>
                <w:lang w:eastAsia="zh-CN"/>
              </w:rPr>
              <w:t>同比下降了</w:t>
            </w:r>
            <w:r>
              <w:rPr>
                <w:rFonts w:hint="default" w:ascii="Times New Roman" w:hAnsi="Times New Roman" w:eastAsia="宋体" w:cs="Times New Roman"/>
                <w:sz w:val="24"/>
                <w:szCs w:val="24"/>
                <w:lang w:val="en-US" w:eastAsia="zh-CN"/>
              </w:rPr>
              <w:t>23.5%</w:t>
            </w:r>
            <w:r>
              <w:rPr>
                <w:rFonts w:hint="default" w:ascii="Times New Roman" w:hAnsi="Times New Roman" w:eastAsia="宋体" w:cs="Times New Roman"/>
                <w:sz w:val="24"/>
                <w:szCs w:val="24"/>
                <w:lang w:eastAsia="zh-CN"/>
              </w:rPr>
              <w:t>。各类功能区昼间达标率范围为</w:t>
            </w:r>
            <w:r>
              <w:rPr>
                <w:rFonts w:hint="default" w:ascii="Times New Roman" w:hAnsi="Times New Roman" w:eastAsia="宋体" w:cs="Times New Roman"/>
                <w:sz w:val="24"/>
                <w:szCs w:val="24"/>
                <w:lang w:val="en-US" w:eastAsia="zh-CN"/>
              </w:rPr>
              <w:t>66.7%～100%，夜间达标率范围为12.5%～100%。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drawing>
                <wp:anchor distT="0" distB="0" distL="114300" distR="114300" simplePos="0" relativeHeight="251664384" behindDoc="0" locked="0" layoutInCell="1" allowOverlap="1">
                  <wp:simplePos x="0" y="0"/>
                  <wp:positionH relativeFrom="column">
                    <wp:posOffset>353060</wp:posOffset>
                  </wp:positionH>
                  <wp:positionV relativeFrom="paragraph">
                    <wp:posOffset>133350</wp:posOffset>
                  </wp:positionV>
                  <wp:extent cx="4572000" cy="2743200"/>
                  <wp:effectExtent l="4445" t="4445" r="14605" b="14605"/>
                  <wp:wrapTopAndBottom/>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imes New Roman" w:hAnsi="Times New Roman" w:cs="Times New Roman"/>
                <w:b/>
                <w:bCs/>
                <w:sz w:val="24"/>
                <w:szCs w:val="24"/>
                <w:lang w:val="en-US" w:eastAsia="zh-CN"/>
              </w:rPr>
              <w:t xml:space="preserve">图3-2 </w:t>
            </w:r>
            <w:r>
              <w:rPr>
                <w:rFonts w:hint="default" w:ascii="Times New Roman" w:hAnsi="Times New Roman" w:eastAsia="宋体" w:cs="Times New Roman"/>
                <w:b/>
                <w:bCs/>
                <w:sz w:val="24"/>
                <w:szCs w:val="24"/>
                <w:lang w:val="en-US" w:eastAsia="zh-CN"/>
              </w:rPr>
              <w:t>2021年全市功能区总达标率同比情况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1类区昼、夜间达标率分别为66.7%和66.7%；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2类区昼、夜间达标率分别为75%和75%；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3类区昼、夜间达标率分别为100%和100%；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4a类区昼、夜间达标率分别为100%和12.5%。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anchor distT="0" distB="0" distL="114300" distR="114300" simplePos="0" relativeHeight="251665408" behindDoc="0" locked="0" layoutInCell="1" allowOverlap="1">
                  <wp:simplePos x="0" y="0"/>
                  <wp:positionH relativeFrom="column">
                    <wp:align>center</wp:align>
                  </wp:positionH>
                  <wp:positionV relativeFrom="paragraph">
                    <wp:posOffset>204470</wp:posOffset>
                  </wp:positionV>
                  <wp:extent cx="4572000" cy="2743200"/>
                  <wp:effectExtent l="4445" t="4445" r="14605" b="14605"/>
                  <wp:wrapTopAndBottom/>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Times New Roman" w:hAnsi="Times New Roman" w:cs="Times New Roman"/>
                <w:b/>
                <w:bCs/>
                <w:sz w:val="24"/>
                <w:szCs w:val="24"/>
                <w:lang w:val="en-US" w:eastAsia="zh-CN"/>
              </w:rPr>
              <w:t xml:space="preserve">图3-3 </w:t>
            </w:r>
            <w:r>
              <w:rPr>
                <w:rFonts w:hint="default" w:ascii="Times New Roman" w:hAnsi="Times New Roman" w:eastAsia="宋体" w:cs="Times New Roman"/>
                <w:b/>
                <w:bCs/>
                <w:sz w:val="24"/>
                <w:szCs w:val="24"/>
                <w:lang w:val="en-US" w:eastAsia="zh-CN"/>
              </w:rPr>
              <w:t>2021年全市各类功能区达标率</w:t>
            </w:r>
            <w:r>
              <w:rPr>
                <w:rFonts w:hint="eastAsia" w:ascii="Times New Roman" w:hAnsi="Times New Roman" w:cs="Times New Roman"/>
                <w:b/>
                <w:bCs/>
                <w:sz w:val="24"/>
                <w:szCs w:val="24"/>
                <w:lang w:val="en-US" w:eastAsia="zh-CN"/>
              </w:rPr>
              <w:t>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anchor distT="0" distB="0" distL="114300" distR="114300" simplePos="0" relativeHeight="251666432" behindDoc="0" locked="0" layoutInCell="1" allowOverlap="1">
                  <wp:simplePos x="0" y="0"/>
                  <wp:positionH relativeFrom="column">
                    <wp:align>center</wp:align>
                  </wp:positionH>
                  <wp:positionV relativeFrom="paragraph">
                    <wp:posOffset>292100</wp:posOffset>
                  </wp:positionV>
                  <wp:extent cx="4572000" cy="2743200"/>
                  <wp:effectExtent l="4445" t="4445" r="14605" b="14605"/>
                  <wp:wrapTopAndBottom/>
                  <wp:docPr id="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imes New Roman" w:hAnsi="Times New Roman" w:cs="Times New Roman"/>
                <w:b/>
                <w:bCs/>
                <w:sz w:val="24"/>
                <w:szCs w:val="24"/>
                <w:lang w:val="en-US" w:eastAsia="zh-CN"/>
              </w:rPr>
              <w:t xml:space="preserve">图3-4 </w:t>
            </w:r>
            <w:r>
              <w:rPr>
                <w:rFonts w:hint="default" w:ascii="Times New Roman" w:hAnsi="Times New Roman" w:eastAsia="宋体" w:cs="Times New Roman"/>
                <w:b/>
                <w:bCs/>
                <w:sz w:val="24"/>
                <w:szCs w:val="24"/>
                <w:lang w:val="en-US" w:eastAsia="zh-CN"/>
              </w:rPr>
              <w:t>2021年全市各类功能区达标率同比情况</w:t>
            </w:r>
            <w:r>
              <w:rPr>
                <w:rFonts w:hint="eastAsia" w:ascii="Times New Roman" w:hAnsi="Times New Roman" w:cs="Times New Roman"/>
                <w:b/>
                <w:bCs/>
                <w:sz w:val="24"/>
                <w:szCs w:val="24"/>
                <w:lang w:val="en-US" w:eastAsia="zh-CN"/>
              </w:rPr>
              <w:t>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补充监测：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项目单位委托黑龙江康和监测有限公司于202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月对项目的声环境现状进行了检测，检测点位示意图见附件3，检测结果如下表：</w:t>
            </w:r>
          </w:p>
          <w:p>
            <w:pPr>
              <w:pStyle w:val="24"/>
              <w:keepNext w:val="0"/>
              <w:keepLines w:val="0"/>
              <w:suppressLineNumbers w:val="0"/>
              <w:spacing w:before="0" w:beforeAutospacing="0" w:after="0" w:afterAutospacing="0"/>
              <w:ind w:left="0" w:right="0"/>
              <w:rPr>
                <w:rFonts w:hint="default" w:ascii="Times New Roman" w:hAnsi="Times New Roman" w:cs="Times New Roman"/>
                <w:color w:val="auto"/>
                <w:sz w:val="24"/>
                <w:szCs w:val="24"/>
                <w:lang w:val="en-US" w:eastAsia="zh-CN"/>
              </w:rPr>
            </w:pPr>
          </w:p>
          <w:p>
            <w:pPr>
              <w:pStyle w:val="24"/>
              <w:keepNext w:val="0"/>
              <w:keepLines w:val="0"/>
              <w:suppressLineNumbers w:val="0"/>
              <w:spacing w:before="0" w:beforeAutospacing="0" w:after="0" w:afterAutospacing="0"/>
              <w:ind w:left="0" w:right="0"/>
              <w:rPr>
                <w:rFonts w:hint="default" w:ascii="Times New Roman" w:hAnsi="Times New Roman" w:cs="Times New Roman"/>
                <w:color w:val="auto"/>
                <w:sz w:val="24"/>
                <w:szCs w:val="24"/>
                <w:lang w:val="en-US" w:eastAsia="zh-CN"/>
              </w:rPr>
            </w:pPr>
          </w:p>
          <w:p>
            <w:pPr>
              <w:pStyle w:val="24"/>
              <w:keepNext w:val="0"/>
              <w:keepLines w:val="0"/>
              <w:suppressLineNumbers w:val="0"/>
              <w:spacing w:before="0" w:beforeAutospacing="0" w:after="0" w:afterAutospacing="0"/>
              <w:ind w:left="0" w:right="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表3-6噪声监测结果一览表</w:t>
            </w:r>
          </w:p>
          <w:p>
            <w:pPr>
              <w:pStyle w:val="6"/>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60" w:lineRule="auto"/>
              <w:ind w:left="431" w:right="0" w:hanging="431"/>
              <w:jc w:val="righ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2"/>
                <w:szCs w:val="22"/>
                <w:highlight w:val="none"/>
                <w:lang w:val="en-US" w:eastAsia="zh-CN"/>
              </w:rPr>
              <w:t>单位：dB（A)</w:t>
            </w:r>
          </w:p>
          <w:tbl>
            <w:tblPr>
              <w:tblStyle w:val="23"/>
              <w:tblW w:w="82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620"/>
              <w:gridCol w:w="1635"/>
              <w:gridCol w:w="1939"/>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检测地点</w:t>
                  </w:r>
                </w:p>
              </w:tc>
              <w:tc>
                <w:tcPr>
                  <w:tcW w:w="32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.0</w:t>
                  </w:r>
                  <w:r>
                    <w:rPr>
                      <w:rFonts w:hint="eastAsia"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01</w:t>
                  </w:r>
                </w:p>
              </w:tc>
              <w:tc>
                <w:tcPr>
                  <w:tcW w:w="3580"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2022.0</w:t>
                  </w:r>
                  <w:r>
                    <w:rPr>
                      <w:rFonts w:hint="eastAsia"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厂界</w:t>
                  </w: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w:t>
                  </w:r>
                </w:p>
              </w:tc>
              <w:tc>
                <w:tcPr>
                  <w:tcW w:w="16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w:t>
                  </w: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52.1</w:t>
                  </w:r>
                </w:p>
              </w:tc>
              <w:tc>
                <w:tcPr>
                  <w:tcW w:w="16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43.1</w:t>
                  </w:r>
                </w:p>
              </w:tc>
              <w:tc>
                <w:tcPr>
                  <w:tcW w:w="193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51.1</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42.5</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highlight w:val="none"/>
                <w:lang w:val="en-US" w:eastAsia="zh-CN"/>
              </w:rPr>
              <w:t>由检测结果可知，本项目昼间噪声最大值为5</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dB（A)，夜间噪声最大值为4</w:t>
            </w:r>
            <w:r>
              <w:rPr>
                <w:rFonts w:hint="eastAsia" w:cs="Times New Roman"/>
                <w:color w:val="auto"/>
                <w:sz w:val="24"/>
                <w:szCs w:val="24"/>
                <w:highlight w:val="none"/>
                <w:lang w:val="en-US" w:eastAsia="zh-CN"/>
              </w:rPr>
              <w:t>3.1</w:t>
            </w:r>
            <w:r>
              <w:rPr>
                <w:rFonts w:hint="default" w:ascii="Times New Roman" w:hAnsi="Times New Roman" w:cs="Times New Roman"/>
                <w:color w:val="auto"/>
                <w:sz w:val="24"/>
                <w:szCs w:val="24"/>
                <w:highlight w:val="none"/>
                <w:lang w:val="en-US" w:eastAsia="zh-CN"/>
              </w:rPr>
              <w:t>dB（A)，满足《声环境质量标准》2类区的标准限值。本项目区域声环境质量状况良好。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jc w:val="center"/>
        </w:trPr>
        <w:tc>
          <w:tcPr>
            <w:tcW w:w="48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cs="Times New Roman"/>
                <w:kern w:val="0"/>
                <w:sz w:val="24"/>
                <w:szCs w:val="24"/>
              </w:rPr>
              <w:t>目标</w:t>
            </w:r>
          </w:p>
        </w:tc>
        <w:tc>
          <w:tcPr>
            <w:tcW w:w="8574"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rPr>
              <w:t>大气环境</w:t>
            </w:r>
            <w:r>
              <w:rPr>
                <w:rFonts w:hint="default" w:ascii="Times New Roman" w:hAnsi="Times New Roman" w:eastAsia="宋体" w:cs="Times New Roman"/>
                <w:b/>
                <w:bCs/>
                <w:sz w:val="24"/>
                <w:szCs w:val="24"/>
                <w:lang w:val="en-US" w:eastAsia="zh-CN"/>
              </w:rPr>
              <w:t>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lang w:val="en-US" w:eastAsia="zh-CN"/>
              </w:rPr>
            </w:pPr>
            <w:r>
              <w:rPr>
                <w:rFonts w:hint="default" w:ascii="Times New Roman" w:hAnsi="Times New Roman" w:eastAsia="宋体" w:cs="Times New Roman"/>
                <w:sz w:val="24"/>
                <w:szCs w:val="24"/>
                <w:lang w:val="en-US" w:eastAsia="zh-CN"/>
              </w:rPr>
              <w:t>本项目位于黑龙江省牡丹江市宁安市东京城镇振兴村，</w:t>
            </w:r>
            <w:r>
              <w:rPr>
                <w:rFonts w:hint="eastAsia" w:cs="Times New Roman"/>
                <w:color w:val="auto"/>
                <w:sz w:val="24"/>
                <w:szCs w:val="24"/>
                <w:lang w:val="en-US" w:eastAsia="zh-CN"/>
              </w:rPr>
              <w:t>东侧为闲置厂房，南侧为闲置居民房屋，西侧为废油加工厂及居民住宅，北侧为闲置厂房</w:t>
            </w:r>
            <w:r>
              <w:rPr>
                <w:rFonts w:hint="default" w:ascii="Times New Roman" w:hAnsi="Times New Roman" w:eastAsia="宋体" w:cs="Times New Roman"/>
                <w:sz w:val="24"/>
                <w:szCs w:val="24"/>
                <w:lang w:val="en-US" w:eastAsia="zh-CN"/>
              </w:rPr>
              <w:t>。据《建设项目环境影响报告编制技术指南》（污染影响类），</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500m范围内的大气环境保护目标的具体情况如下。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val="0"/>
                <w:bCs w:val="0"/>
                <w:sz w:val="24"/>
                <w:szCs w:val="32"/>
                <w:lang w:val="en-US" w:eastAsia="zh-CN"/>
              </w:rPr>
            </w:pPr>
            <w:r>
              <w:rPr>
                <w:rFonts w:hint="default"/>
              </w:rPr>
              <w:drawing>
                <wp:anchor distT="0" distB="0" distL="114300" distR="114300" simplePos="0" relativeHeight="251678720" behindDoc="0" locked="0" layoutInCell="1" allowOverlap="1">
                  <wp:simplePos x="0" y="0"/>
                  <wp:positionH relativeFrom="column">
                    <wp:posOffset>3806825</wp:posOffset>
                  </wp:positionH>
                  <wp:positionV relativeFrom="paragraph">
                    <wp:posOffset>2921635</wp:posOffset>
                  </wp:positionV>
                  <wp:extent cx="1401445" cy="592455"/>
                  <wp:effectExtent l="0" t="0" r="8255" b="17145"/>
                  <wp:wrapNone/>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5"/>
                          <a:stretch>
                            <a:fillRect/>
                          </a:stretch>
                        </pic:blipFill>
                        <pic:spPr>
                          <a:xfrm>
                            <a:off x="0" y="0"/>
                            <a:ext cx="1401445" cy="592455"/>
                          </a:xfrm>
                          <a:prstGeom prst="rect">
                            <a:avLst/>
                          </a:prstGeom>
                          <a:noFill/>
                          <a:ln>
                            <a:noFill/>
                          </a:ln>
                        </pic:spPr>
                      </pic:pic>
                    </a:graphicData>
                  </a:graphic>
                </wp:anchor>
              </w:drawing>
            </w:r>
            <w:r>
              <w:rPr>
                <w:rFonts w:hint="default" w:ascii="Times New Roman" w:hAnsi="Times New Roman" w:eastAsia="宋体" w:cs="Times New Roman"/>
                <w:b/>
                <w:bCs/>
                <w:sz w:val="24"/>
                <w:szCs w:val="24"/>
                <w:lang w:val="en-US" w:eastAsia="zh-CN"/>
              </w:rPr>
              <w:drawing>
                <wp:anchor distT="0" distB="0" distL="114300" distR="114300" simplePos="0" relativeHeight="251674624" behindDoc="0" locked="0" layoutInCell="1" allowOverlap="1">
                  <wp:simplePos x="0" y="0"/>
                  <wp:positionH relativeFrom="column">
                    <wp:posOffset>4486910</wp:posOffset>
                  </wp:positionH>
                  <wp:positionV relativeFrom="paragraph">
                    <wp:posOffset>3810</wp:posOffset>
                  </wp:positionV>
                  <wp:extent cx="727710" cy="716280"/>
                  <wp:effectExtent l="0" t="0" r="15240" b="7620"/>
                  <wp:wrapNone/>
                  <wp:docPr id="49" name="图片 136" descr="a154c134b8ab5643dce816ad96c9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6" descr="a154c134b8ab5643dce816ad96c9da5"/>
                          <pic:cNvPicPr>
                            <a:picLocks noChangeAspect="1"/>
                          </pic:cNvPicPr>
                        </pic:nvPicPr>
                        <pic:blipFill>
                          <a:blip r:embed="rId16"/>
                          <a:stretch>
                            <a:fillRect/>
                          </a:stretch>
                        </pic:blipFill>
                        <pic:spPr>
                          <a:xfrm>
                            <a:off x="0" y="0"/>
                            <a:ext cx="727710" cy="716280"/>
                          </a:xfrm>
                          <a:prstGeom prst="rect">
                            <a:avLst/>
                          </a:prstGeom>
                          <a:noFill/>
                          <a:ln>
                            <a:noFill/>
                          </a:ln>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b/>
                <w:bCs/>
                <w:sz w:val="24"/>
                <w:szCs w:val="32"/>
                <w:lang w:val="en-US" w:eastAsia="zh-CN"/>
              </w:rPr>
              <w:t>图3-</w:t>
            </w:r>
            <w:r>
              <w:rPr>
                <w:rFonts w:hint="eastAsia" w:ascii="Times New Roman" w:hAnsi="Times New Roman" w:cs="Times New Roman"/>
                <w:b/>
                <w:bCs/>
                <w:sz w:val="24"/>
                <w:szCs w:val="32"/>
                <w:lang w:val="en-US" w:eastAsia="zh-CN"/>
              </w:rPr>
              <w:t>5</w:t>
            </w:r>
            <w:r>
              <w:rPr>
                <w:rFonts w:hint="default" w:ascii="Times New Roman" w:hAnsi="Times New Roman" w:eastAsia="宋体" w:cs="Times New Roman"/>
                <w:b/>
                <w:bCs/>
                <w:sz w:val="24"/>
                <w:szCs w:val="32"/>
                <w:lang w:val="en-US" w:eastAsia="zh-CN"/>
              </w:rPr>
              <w:t xml:space="preserve"> 本项目大气环境保护目标图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sz w:val="24"/>
                <w:szCs w:val="32"/>
                <w:lang w:val="en-US" w:eastAsia="zh-CN"/>
              </w:rPr>
              <w:t>本项目大气环境保护目标详见下表。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sz w:val="24"/>
                <w:szCs w:val="32"/>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4"/>
                <w:szCs w:val="32"/>
                <w:lang w:eastAsia="zh-CN"/>
              </w:rPr>
            </w:pPr>
            <w:r>
              <w:rPr>
                <w:rFonts w:hint="default" w:ascii="Times New Roman" w:hAnsi="Times New Roman" w:eastAsia="宋体" w:cs="Times New Roman"/>
                <w:b/>
                <w:bCs/>
                <w:sz w:val="24"/>
                <w:szCs w:val="32"/>
                <w:lang w:eastAsia="zh-CN"/>
              </w:rPr>
              <w:t>表</w:t>
            </w:r>
            <w:r>
              <w:rPr>
                <w:rFonts w:hint="default" w:ascii="Times New Roman" w:hAnsi="Times New Roman" w:eastAsia="宋体" w:cs="Times New Roman"/>
                <w:b/>
                <w:bCs/>
                <w:sz w:val="24"/>
                <w:szCs w:val="32"/>
                <w:lang w:val="en-US" w:eastAsia="zh-CN"/>
              </w:rPr>
              <w:t>3-</w:t>
            </w:r>
            <w:r>
              <w:rPr>
                <w:rFonts w:hint="eastAsia" w:ascii="Times New Roman" w:hAnsi="Times New Roman" w:cs="Times New Roman"/>
                <w:b/>
                <w:bCs/>
                <w:sz w:val="24"/>
                <w:szCs w:val="32"/>
                <w:lang w:val="en-US" w:eastAsia="zh-CN"/>
              </w:rPr>
              <w:t>7</w:t>
            </w:r>
            <w:r>
              <w:rPr>
                <w:rFonts w:hint="default" w:ascii="Times New Roman" w:hAnsi="Times New Roman" w:eastAsia="宋体" w:cs="Times New Roman"/>
                <w:b/>
                <w:bCs/>
                <w:sz w:val="24"/>
                <w:szCs w:val="32"/>
                <w:lang w:val="en-US" w:eastAsia="zh-CN"/>
              </w:rPr>
              <w:t xml:space="preserve">  </w:t>
            </w:r>
            <w:r>
              <w:rPr>
                <w:rFonts w:hint="default" w:ascii="Times New Roman" w:hAnsi="Times New Roman" w:eastAsia="宋体" w:cs="Times New Roman"/>
                <w:b/>
                <w:bCs/>
                <w:sz w:val="24"/>
                <w:szCs w:val="32"/>
              </w:rPr>
              <w:t>大气环境保护目标表</w:t>
            </w:r>
          </w:p>
          <w:tbl>
            <w:tblPr>
              <w:tblStyle w:val="22"/>
              <w:tblW w:w="83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08"/>
              <w:gridCol w:w="1295"/>
              <w:gridCol w:w="1076"/>
              <w:gridCol w:w="615"/>
              <w:gridCol w:w="741"/>
              <w:gridCol w:w="1761"/>
              <w:gridCol w:w="719"/>
              <w:gridCol w:w="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416"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序号</w:t>
                  </w:r>
                </w:p>
              </w:tc>
              <w:tc>
                <w:tcPr>
                  <w:tcW w:w="1108"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名称</w:t>
                  </w:r>
                </w:p>
              </w:tc>
              <w:tc>
                <w:tcPr>
                  <w:tcW w:w="2371" w:type="dxa"/>
                  <w:gridSpan w:val="2"/>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坐标</w:t>
                  </w:r>
                </w:p>
              </w:tc>
              <w:tc>
                <w:tcPr>
                  <w:tcW w:w="615"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保护</w:t>
                  </w:r>
                </w:p>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对象</w:t>
                  </w:r>
                </w:p>
              </w:tc>
              <w:tc>
                <w:tcPr>
                  <w:tcW w:w="741"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保护</w:t>
                  </w:r>
                </w:p>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内容</w:t>
                  </w:r>
                </w:p>
              </w:tc>
              <w:tc>
                <w:tcPr>
                  <w:tcW w:w="1761"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环境</w:t>
                  </w:r>
                </w:p>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功能区</w:t>
                  </w:r>
                </w:p>
              </w:tc>
              <w:tc>
                <w:tcPr>
                  <w:tcW w:w="719"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相对厂址方位</w:t>
                  </w:r>
                </w:p>
              </w:tc>
              <w:tc>
                <w:tcPr>
                  <w:tcW w:w="627"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相对厂界</w:t>
                  </w:r>
                </w:p>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416"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1108"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1295"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X</w:t>
                  </w:r>
                </w:p>
              </w:tc>
              <w:tc>
                <w:tcPr>
                  <w:tcW w:w="107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val="0"/>
                      <w:bCs w:val="0"/>
                      <w:sz w:val="20"/>
                      <w:szCs w:val="20"/>
                    </w:rPr>
                    <w:t>Y</w:t>
                  </w:r>
                </w:p>
              </w:tc>
              <w:tc>
                <w:tcPr>
                  <w:tcW w:w="615"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741"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1761"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719"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c>
                <w:tcPr>
                  <w:tcW w:w="627"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41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1</w:t>
                  </w:r>
                </w:p>
              </w:tc>
              <w:tc>
                <w:tcPr>
                  <w:tcW w:w="1108"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振兴村</w:t>
                  </w:r>
                  <w:r>
                    <w:rPr>
                      <w:rFonts w:hint="eastAsia" w:ascii="Times New Roman" w:hAnsi="Times New Roman" w:cs="Times New Roman"/>
                      <w:b w:val="0"/>
                      <w:bCs w:val="0"/>
                      <w:sz w:val="20"/>
                      <w:szCs w:val="20"/>
                      <w:lang w:val="en-US" w:eastAsia="zh-CN"/>
                    </w:rPr>
                    <w:t>居民区一</w:t>
                  </w:r>
                </w:p>
              </w:tc>
              <w:tc>
                <w:tcPr>
                  <w:tcW w:w="1295"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184</w:t>
                  </w:r>
                </w:p>
              </w:tc>
              <w:tc>
                <w:tcPr>
                  <w:tcW w:w="107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341</w:t>
                  </w:r>
                </w:p>
              </w:tc>
              <w:tc>
                <w:tcPr>
                  <w:tcW w:w="615"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村民</w:t>
                  </w:r>
                </w:p>
              </w:tc>
              <w:tc>
                <w:tcPr>
                  <w:tcW w:w="741"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50</w:t>
                  </w:r>
                  <w:r>
                    <w:rPr>
                      <w:rFonts w:hint="default" w:ascii="Times New Roman" w:hAnsi="Times New Roman" w:eastAsia="宋体" w:cs="Times New Roman"/>
                      <w:b w:val="0"/>
                      <w:bCs w:val="0"/>
                      <w:sz w:val="20"/>
                      <w:szCs w:val="20"/>
                      <w:lang w:val="en-US" w:eastAsia="zh-CN"/>
                    </w:rPr>
                    <w:t>人</w:t>
                  </w:r>
                </w:p>
              </w:tc>
              <w:tc>
                <w:tcPr>
                  <w:tcW w:w="1761"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《环境空气质量标准》（GB3095-2012）（含2018年修改单）中的二级浓度限值</w:t>
                  </w: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EN</w:t>
                  </w:r>
                </w:p>
              </w:tc>
              <w:tc>
                <w:tcPr>
                  <w:tcW w:w="627"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41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2</w:t>
                  </w:r>
                </w:p>
              </w:tc>
              <w:tc>
                <w:tcPr>
                  <w:tcW w:w="1108"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振兴村</w:t>
                  </w:r>
                  <w:r>
                    <w:rPr>
                      <w:rFonts w:hint="eastAsia" w:ascii="Times New Roman" w:hAnsi="Times New Roman" w:cs="Times New Roman"/>
                      <w:b w:val="0"/>
                      <w:bCs w:val="0"/>
                      <w:sz w:val="20"/>
                      <w:szCs w:val="20"/>
                      <w:lang w:val="en-US" w:eastAsia="zh-CN"/>
                    </w:rPr>
                    <w:t>居民区二</w:t>
                  </w:r>
                </w:p>
              </w:tc>
              <w:tc>
                <w:tcPr>
                  <w:tcW w:w="1295"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46</w:t>
                  </w:r>
                </w:p>
              </w:tc>
              <w:tc>
                <w:tcPr>
                  <w:tcW w:w="107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0</w:t>
                  </w:r>
                </w:p>
              </w:tc>
              <w:tc>
                <w:tcPr>
                  <w:tcW w:w="615"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p>
              </w:tc>
              <w:tc>
                <w:tcPr>
                  <w:tcW w:w="741"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20人</w:t>
                  </w:r>
                </w:p>
              </w:tc>
              <w:tc>
                <w:tcPr>
                  <w:tcW w:w="1761"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E</w:t>
                  </w:r>
                </w:p>
              </w:tc>
              <w:tc>
                <w:tcPr>
                  <w:tcW w:w="627"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41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3</w:t>
                  </w:r>
                </w:p>
              </w:tc>
              <w:tc>
                <w:tcPr>
                  <w:tcW w:w="1108"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default" w:ascii="Times New Roman" w:hAnsi="Times New Roman" w:eastAsia="宋体" w:cs="Times New Roman"/>
                      <w:b w:val="0"/>
                      <w:bCs w:val="0"/>
                      <w:sz w:val="20"/>
                      <w:szCs w:val="20"/>
                      <w:lang w:val="en-US" w:eastAsia="zh-CN"/>
                    </w:rPr>
                    <w:t>振兴村</w:t>
                  </w:r>
                  <w:r>
                    <w:rPr>
                      <w:rFonts w:hint="eastAsia" w:ascii="Times New Roman" w:hAnsi="Times New Roman" w:cs="Times New Roman"/>
                      <w:b w:val="0"/>
                      <w:bCs w:val="0"/>
                      <w:sz w:val="20"/>
                      <w:szCs w:val="20"/>
                      <w:lang w:val="en-US" w:eastAsia="zh-CN"/>
                    </w:rPr>
                    <w:t>居民区三</w:t>
                  </w:r>
                </w:p>
              </w:tc>
              <w:tc>
                <w:tcPr>
                  <w:tcW w:w="1295"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0</w:t>
                  </w:r>
                </w:p>
              </w:tc>
              <w:tc>
                <w:tcPr>
                  <w:tcW w:w="1076"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0</w:t>
                  </w:r>
                </w:p>
              </w:tc>
              <w:tc>
                <w:tcPr>
                  <w:tcW w:w="615"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p>
              </w:tc>
              <w:tc>
                <w:tcPr>
                  <w:tcW w:w="741"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100</w:t>
                  </w:r>
                  <w:r>
                    <w:rPr>
                      <w:rFonts w:hint="default" w:ascii="Times New Roman" w:hAnsi="Times New Roman" w:eastAsia="宋体" w:cs="Times New Roman"/>
                      <w:b w:val="0"/>
                      <w:bCs w:val="0"/>
                      <w:sz w:val="20"/>
                      <w:szCs w:val="20"/>
                      <w:lang w:val="en-US" w:eastAsia="zh-CN"/>
                    </w:rPr>
                    <w:t>人</w:t>
                  </w:r>
                </w:p>
              </w:tc>
              <w:tc>
                <w:tcPr>
                  <w:tcW w:w="1761"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E、S、W</w:t>
                  </w:r>
                </w:p>
              </w:tc>
              <w:tc>
                <w:tcPr>
                  <w:tcW w:w="627" w:type="dxa"/>
                  <w:tcBorders>
                    <w:tl2br w:val="nil"/>
                    <w:tr2bl w:val="nil"/>
                  </w:tcBorders>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6" w:lineRule="atLeast"/>
                    <w:ind w:left="0" w:right="0"/>
                    <w:jc w:val="center"/>
                    <w:textAlignment w:val="auto"/>
                    <w:rPr>
                      <w:rFonts w:hint="default" w:ascii="Times New Roman" w:hAnsi="Times New Roman" w:eastAsia="宋体" w:cs="Times New Roman"/>
                      <w:b w:val="0"/>
                      <w:bCs w:val="0"/>
                      <w:sz w:val="20"/>
                      <w:szCs w:val="20"/>
                      <w:lang w:val="en-US" w:eastAsia="zh-CN"/>
                    </w:rPr>
                  </w:pPr>
                  <w:r>
                    <w:rPr>
                      <w:rFonts w:hint="eastAsia" w:ascii="Times New Roman" w:hAnsi="Times New Roman" w:cs="Times New Roman"/>
                      <w:b w:val="0"/>
                      <w:bCs w:val="0"/>
                      <w:sz w:val="20"/>
                      <w:szCs w:val="20"/>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三、声环境保护目标</w:t>
            </w:r>
          </w:p>
          <w:p>
            <w:pPr>
              <w:keepNext w:val="0"/>
              <w:keepLines w:val="0"/>
              <w:suppressLineNumbers w:val="0"/>
              <w:adjustRightInd w:val="0"/>
              <w:snapToGrid w:val="0"/>
              <w:spacing w:before="0" w:beforeAutospacing="0" w:after="0" w:afterAutospacing="0" w:line="360" w:lineRule="auto"/>
              <w:ind w:left="0" w:right="0" w:firstLine="48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50米范围内有声环境保护目标，根据《建设项目环境影响报告编制技术指南》（污染影响类），本项目声环境保护目标见下图。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sz w:val="24"/>
                <w:szCs w:val="32"/>
                <w:lang w:eastAsia="zh-CN"/>
              </w:rPr>
            </w:pPr>
            <w:r>
              <w:rPr>
                <w:rFonts w:hint="default"/>
              </w:rPr>
              <w:drawing>
                <wp:anchor distT="0" distB="0" distL="114300" distR="114300" simplePos="0" relativeHeight="251677696" behindDoc="0" locked="0" layoutInCell="1" allowOverlap="1">
                  <wp:simplePos x="0" y="0"/>
                  <wp:positionH relativeFrom="column">
                    <wp:posOffset>4034155</wp:posOffset>
                  </wp:positionH>
                  <wp:positionV relativeFrom="paragraph">
                    <wp:posOffset>3409315</wp:posOffset>
                  </wp:positionV>
                  <wp:extent cx="1243330" cy="533400"/>
                  <wp:effectExtent l="0" t="0" r="13970" b="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7"/>
                          <a:stretch>
                            <a:fillRect/>
                          </a:stretch>
                        </pic:blipFill>
                        <pic:spPr>
                          <a:xfrm>
                            <a:off x="0" y="0"/>
                            <a:ext cx="1243330" cy="533400"/>
                          </a:xfrm>
                          <a:prstGeom prst="rect">
                            <a:avLst/>
                          </a:prstGeom>
                          <a:noFill/>
                          <a:ln>
                            <a:noFill/>
                          </a:ln>
                        </pic:spPr>
                      </pic:pic>
                    </a:graphicData>
                  </a:graphic>
                </wp:anchor>
              </w:drawing>
            </w:r>
            <w:r>
              <w:rPr>
                <w:rFonts w:hint="default" w:ascii="Times New Roman" w:hAnsi="Times New Roman" w:eastAsia="宋体" w:cs="Times New Roman"/>
                <w:b/>
                <w:bCs/>
                <w:sz w:val="24"/>
                <w:szCs w:val="32"/>
                <w:lang w:eastAsia="zh-CN"/>
              </w:rPr>
              <w:drawing>
                <wp:anchor distT="0" distB="0" distL="114300" distR="114300" simplePos="0" relativeHeight="251673600" behindDoc="0" locked="0" layoutInCell="1" allowOverlap="1">
                  <wp:simplePos x="0" y="0"/>
                  <wp:positionH relativeFrom="column">
                    <wp:posOffset>4433570</wp:posOffset>
                  </wp:positionH>
                  <wp:positionV relativeFrom="paragraph">
                    <wp:posOffset>635</wp:posOffset>
                  </wp:positionV>
                  <wp:extent cx="777875" cy="786130"/>
                  <wp:effectExtent l="0" t="0" r="3175" b="13970"/>
                  <wp:wrapNone/>
                  <wp:docPr id="51" name="图片 127" descr="a154c134b8ab5643dce816ad96c9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7" descr="a154c134b8ab5643dce816ad96c9da5"/>
                          <pic:cNvPicPr>
                            <a:picLocks noChangeAspect="1"/>
                          </pic:cNvPicPr>
                        </pic:nvPicPr>
                        <pic:blipFill>
                          <a:blip r:embed="rId16"/>
                          <a:stretch>
                            <a:fillRect/>
                          </a:stretch>
                        </pic:blipFill>
                        <pic:spPr>
                          <a:xfrm flipV="1">
                            <a:off x="0" y="0"/>
                            <a:ext cx="777875" cy="786130"/>
                          </a:xfrm>
                          <a:prstGeom prst="rect">
                            <a:avLst/>
                          </a:prstGeom>
                          <a:noFill/>
                          <a:ln>
                            <a:noFill/>
                          </a:ln>
                        </pic:spPr>
                      </pic:pic>
                    </a:graphicData>
                  </a:graphic>
                </wp:anchor>
              </w:drawing>
            </w:r>
            <w:bookmarkStart w:id="5" w:name="_GoBack"/>
            <w:bookmarkEnd w:id="5"/>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图3-</w:t>
            </w:r>
            <w:r>
              <w:rPr>
                <w:rFonts w:hint="eastAsia"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 xml:space="preserve"> 本项目声环境保护目标图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本项目声环境目标保护详见下表</w:t>
            </w:r>
            <w:r>
              <w:rPr>
                <w:rFonts w:hint="default" w:ascii="Times New Roman" w:hAnsi="Times New Roman" w:cs="Times New Roman"/>
                <w:sz w:val="24"/>
                <w:szCs w:val="24"/>
                <w:lang w:val="en-US" w:eastAsia="zh-CN"/>
              </w:rPr>
              <w:t>。</w:t>
            </w:r>
          </w:p>
          <w:p>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p>
          <w:p>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p>
          <w:p>
            <w:pPr>
              <w:pStyle w:val="4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表3-</w:t>
            </w:r>
            <w:r>
              <w:rPr>
                <w:rFonts w:hint="default" w:ascii="Times New Roman" w:hAnsi="Times New Roman" w:eastAsia="宋体" w:cs="Times New Roman"/>
                <w:b/>
                <w:bCs/>
                <w:color w:val="000000"/>
                <w:lang w:val="en-US" w:eastAsia="zh-CN"/>
              </w:rPr>
              <w:t>8</w:t>
            </w:r>
            <w:r>
              <w:rPr>
                <w:rFonts w:hint="default" w:ascii="Times New Roman" w:hAnsi="Times New Roman" w:eastAsia="宋体" w:cs="Times New Roman"/>
                <w:b/>
                <w:bCs/>
                <w:color w:val="000000"/>
              </w:rPr>
              <w:t>其他环境要素保护目标</w:t>
            </w:r>
          </w:p>
          <w:tbl>
            <w:tblPr>
              <w:tblStyle w:val="22"/>
              <w:tblW w:w="820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21"/>
              <w:gridCol w:w="1428"/>
              <w:gridCol w:w="1014"/>
              <w:gridCol w:w="1289"/>
              <w:gridCol w:w="816"/>
              <w:gridCol w:w="25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666" w:hRule="atLeast"/>
                <w:jc w:val="center"/>
              </w:trPr>
              <w:tc>
                <w:tcPr>
                  <w:tcW w:w="112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环境要素</w:t>
                  </w:r>
                </w:p>
              </w:tc>
              <w:tc>
                <w:tcPr>
                  <w:tcW w:w="142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敏感目标</w:t>
                  </w:r>
                </w:p>
              </w:tc>
              <w:tc>
                <w:tcPr>
                  <w:tcW w:w="101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方位</w:t>
                  </w:r>
                </w:p>
              </w:tc>
              <w:tc>
                <w:tcPr>
                  <w:tcW w:w="128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与厂界距离（m）</w:t>
                  </w:r>
                </w:p>
              </w:tc>
              <w:tc>
                <w:tcPr>
                  <w:tcW w:w="81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规模</w:t>
                  </w:r>
                </w:p>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（人）</w:t>
                  </w:r>
                </w:p>
              </w:tc>
              <w:tc>
                <w:tcPr>
                  <w:tcW w:w="25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环境功能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838" w:hRule="atLeast"/>
                <w:jc w:val="center"/>
              </w:trPr>
              <w:tc>
                <w:tcPr>
                  <w:tcW w:w="112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声环境</w:t>
                  </w:r>
                </w:p>
              </w:tc>
              <w:tc>
                <w:tcPr>
                  <w:tcW w:w="14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振兴村居民区二</w:t>
                  </w:r>
                </w:p>
              </w:tc>
              <w:tc>
                <w:tcPr>
                  <w:tcW w:w="10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lang w:eastAsia="zh-CN"/>
                    </w:rPr>
                  </w:pPr>
                  <w:r>
                    <w:rPr>
                      <w:rFonts w:hint="eastAsia" w:ascii="Times New Roman" w:hAnsi="Times New Roman" w:cs="Times New Roman"/>
                      <w:b w:val="0"/>
                      <w:bCs w:val="0"/>
                      <w:sz w:val="20"/>
                      <w:szCs w:val="20"/>
                      <w:lang w:val="en-US" w:eastAsia="zh-CN"/>
                    </w:rPr>
                    <w:t>EN</w:t>
                  </w:r>
                </w:p>
              </w:tc>
              <w:tc>
                <w:tcPr>
                  <w:tcW w:w="128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Times New Roman" w:cs="Times New Roman"/>
                      <w:color w:val="000000"/>
                      <w:lang w:val="en-US" w:eastAsia="zh-CN"/>
                    </w:rPr>
                    <w:t>46-50</w:t>
                  </w:r>
                </w:p>
              </w:tc>
              <w:tc>
                <w:tcPr>
                  <w:tcW w:w="81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20</w:t>
                  </w:r>
                </w:p>
              </w:tc>
              <w:tc>
                <w:tcPr>
                  <w:tcW w:w="253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《声环境质量标准》（GB3096-2008）</w:t>
                  </w:r>
                </w:p>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lang w:val="en-US" w:eastAsia="zh-CN"/>
                    </w:rPr>
                    <w:t>2</w:t>
                  </w:r>
                  <w:r>
                    <w:rPr>
                      <w:rFonts w:hint="default" w:ascii="Times New Roman" w:hAnsi="Times New Roman" w:cs="Times New Roman"/>
                      <w:color w:val="000000"/>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838" w:hRule="atLeast"/>
                <w:jc w:val="center"/>
              </w:trPr>
              <w:tc>
                <w:tcPr>
                  <w:tcW w:w="112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p>
              </w:tc>
              <w:tc>
                <w:tcPr>
                  <w:tcW w:w="14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振兴村居民区三</w:t>
                  </w:r>
                </w:p>
              </w:tc>
              <w:tc>
                <w:tcPr>
                  <w:tcW w:w="101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lang w:val="en-US" w:eastAsia="zh-CN"/>
                    </w:rPr>
                  </w:pPr>
                  <w:r>
                    <w:rPr>
                      <w:rFonts w:hint="eastAsia" w:ascii="Times New Roman" w:hAnsi="Times New Roman" w:cs="Times New Roman"/>
                      <w:b w:val="0"/>
                      <w:bCs w:val="0"/>
                      <w:sz w:val="20"/>
                      <w:szCs w:val="20"/>
                      <w:lang w:val="en-US" w:eastAsia="zh-CN"/>
                    </w:rPr>
                    <w:t>E、S、W</w:t>
                  </w:r>
                </w:p>
              </w:tc>
              <w:tc>
                <w:tcPr>
                  <w:tcW w:w="128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0-50</w:t>
                  </w:r>
                </w:p>
              </w:tc>
              <w:tc>
                <w:tcPr>
                  <w:tcW w:w="81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60</w:t>
                  </w:r>
                </w:p>
              </w:tc>
              <w:tc>
                <w:tcPr>
                  <w:tcW w:w="253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lang w:val="en-US" w:eastAsia="zh-CN"/>
                    </w:rPr>
                  </w:pPr>
                </w:p>
              </w:tc>
            </w:tr>
          </w:tbl>
          <w:p>
            <w:pPr>
              <w:keepNext w:val="0"/>
              <w:keepLines w:val="0"/>
              <w:suppressLineNumbers w:val="0"/>
              <w:adjustRightInd w:val="0"/>
              <w:snapToGrid w:val="0"/>
              <w:spacing w:before="0" w:beforeAutospacing="0" w:after="0" w:afterAutospacing="0" w:line="360" w:lineRule="auto"/>
              <w:ind w:left="0" w:leftChars="0" w:right="0" w:rightChars="0" w:firstLine="480" w:firstLineChars="0"/>
              <w:jc w:val="both"/>
              <w:rPr>
                <w:rFonts w:hint="default" w:ascii="Times New Roman" w:hAnsi="Times New Roman" w:eastAsia="宋体" w:cs="Times New Roman"/>
                <w:kern w:val="2"/>
                <w:sz w:val="21"/>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87"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0"/>
                <w:szCs w:val="20"/>
              </w:rPr>
            </w:pPr>
            <w:r>
              <w:rPr>
                <w:rFonts w:hint="default" w:ascii="Times New Roman" w:hAnsi="Times New Roman" w:cs="Times New Roman"/>
                <w:kern w:val="0"/>
                <w:sz w:val="24"/>
                <w:szCs w:val="24"/>
              </w:rPr>
              <w:t>准</w:t>
            </w:r>
          </w:p>
        </w:tc>
        <w:tc>
          <w:tcPr>
            <w:tcW w:w="8574"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lang w:val="en-US" w:eastAsia="zh-CN"/>
              </w:rPr>
              <w:t>一、废气</w:t>
            </w:r>
          </w:p>
          <w:p>
            <w:pPr>
              <w:pStyle w:val="18"/>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Cs w:val="24"/>
              </w:rPr>
              <w:t>施工期排放的废气执行《大气污染物综合排放标准》(GB16297-1996)中无组织排放限值颗粒物厂界外浓度最高点&lt;1.0mg/m</w:t>
            </w:r>
            <w:r>
              <w:rPr>
                <w:rFonts w:hint="default" w:ascii="Times New Roman" w:hAnsi="Times New Roman" w:eastAsia="宋体" w:cs="Times New Roman"/>
                <w:szCs w:val="24"/>
                <w:vertAlign w:val="superscript"/>
              </w:rPr>
              <w:t>3</w:t>
            </w:r>
            <w:r>
              <w:rPr>
                <w:rFonts w:hint="default" w:ascii="Times New Roman" w:hAnsi="Times New Roman" w:eastAsia="宋体" w:cs="Times New Roman"/>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运营</w:t>
            </w:r>
            <w:r>
              <w:rPr>
                <w:rFonts w:hint="default" w:ascii="Times New Roman" w:hAnsi="Times New Roman" w:eastAsia="宋体" w:cs="Times New Roman"/>
                <w:color w:val="auto"/>
                <w:sz w:val="24"/>
                <w:szCs w:val="24"/>
                <w:lang w:val="en-US" w:eastAsia="zh-CN"/>
              </w:rPr>
              <w:t>期间，排放的VOCs以非甲烷总烃计，废气的有组织排放限值和厂界限值执行《合成树脂工业污染物排放标准》（GB31572-2015）中“表4&amp;表9”的排放限值；厂区内废气的无组织排放执行《挥发性有机物无组织排放控制标准》（GB37822-2019）中“表A.1”的排放限值；本项目生产过程产生的异味应满足《恶臭污染物排放标准》（GB14554-93）中的要求，</w:t>
            </w:r>
            <w:r>
              <w:rPr>
                <w:rFonts w:hint="default" w:ascii="Times New Roman" w:hAnsi="Times New Roman" w:eastAsia="宋体" w:cs="Times New Roman"/>
                <w:color w:val="auto"/>
                <w:sz w:val="24"/>
              </w:rPr>
              <w:t>废气排放标准见表3</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表3</w:t>
            </w:r>
            <w:r>
              <w:rPr>
                <w:rFonts w:hint="eastAsia" w:ascii="Times New Roman" w:hAnsi="Times New Roman" w:eastAsia="宋体" w:cs="Times New Roman"/>
                <w:b/>
                <w:bCs/>
                <w:color w:val="auto"/>
                <w:kern w:val="0"/>
                <w:sz w:val="24"/>
                <w:lang w:val="en-US" w:eastAsia="zh-CN"/>
              </w:rPr>
              <w:t>-9</w:t>
            </w:r>
            <w:r>
              <w:rPr>
                <w:rFonts w:hint="eastAsia" w:ascii="Times New Roman" w:hAnsi="Times New Roman" w:eastAsia="宋体" w:cs="Times New Roman"/>
                <w:b/>
                <w:bCs/>
                <w:color w:val="auto"/>
                <w:kern w:val="0"/>
                <w:sz w:val="24"/>
                <w:lang w:eastAsia="zh-CN"/>
              </w:rPr>
              <w:t>运营期</w:t>
            </w:r>
            <w:r>
              <w:rPr>
                <w:rFonts w:hint="default" w:ascii="Times New Roman" w:hAnsi="Times New Roman" w:eastAsia="宋体" w:cs="Times New Roman"/>
                <w:b/>
                <w:bCs/>
                <w:color w:val="auto"/>
                <w:kern w:val="0"/>
                <w:sz w:val="24"/>
              </w:rPr>
              <w:t>废气排放执行标准</w:t>
            </w:r>
          </w:p>
          <w:tbl>
            <w:tblPr>
              <w:tblStyle w:val="22"/>
              <w:tblW w:w="8355"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194"/>
              <w:gridCol w:w="1103"/>
              <w:gridCol w:w="1113"/>
              <w:gridCol w:w="1045"/>
              <w:gridCol w:w="39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tcBorders>
                    <w:top w:val="single" w:color="auto" w:sz="1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w:t>
                  </w:r>
                </w:p>
              </w:tc>
              <w:tc>
                <w:tcPr>
                  <w:tcW w:w="1103"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污染因子</w:t>
                  </w:r>
                </w:p>
              </w:tc>
              <w:tc>
                <w:tcPr>
                  <w:tcW w:w="1113"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w:t>
                  </w:r>
                </w:p>
              </w:tc>
              <w:tc>
                <w:tcPr>
                  <w:tcW w:w="1045"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3900" w:type="dxa"/>
                  <w:tcBorders>
                    <w:top w:val="single" w:color="auto" w:sz="1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tblHeader/>
              </w:trPr>
              <w:tc>
                <w:tcPr>
                  <w:tcW w:w="1194" w:type="dxa"/>
                  <w:vMerge w:val="restart"/>
                  <w:tcBorders>
                    <w:top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15m高排气筒</w:t>
                  </w: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vMerge w:val="restart"/>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《合成树脂工业污染物排放标准》（GB31572-2015)表4中标准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continue"/>
                  <w:tcBorders>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非甲烷总烃</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vMerge w:val="continue"/>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tblHeader/>
              </w:trPr>
              <w:tc>
                <w:tcPr>
                  <w:tcW w:w="1194" w:type="dxa"/>
                  <w:vMerge w:val="continue"/>
                  <w:tcBorders>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臭气浓度</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2000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无量纲</w:t>
                  </w:r>
                </w:p>
              </w:tc>
              <w:tc>
                <w:tcPr>
                  <w:tcW w:w="3900" w:type="dxa"/>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恶臭污染物排放标准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CB14554-93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表2中标准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restart"/>
                  <w:tcBorders>
                    <w:top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周界外浓度最高点</w:t>
                  </w: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vMerge w:val="restart"/>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《合成树脂工业污染物排放标准》（GB31572-2015)表9中边界大气污染物浓度限值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continue"/>
                  <w:tcBorders>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非甲烷总烃</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vMerge w:val="continue"/>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continue"/>
                  <w:tcBorders>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臭气浓度</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无量纲</w:t>
                  </w:r>
                </w:p>
              </w:tc>
              <w:tc>
                <w:tcPr>
                  <w:tcW w:w="3900" w:type="dxa"/>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恶臭污染物排放标准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CB14554-93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表1中标准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restart"/>
                  <w:tcBorders>
                    <w:top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厂区内VOCS无组织排放限值</w:t>
                  </w:r>
                </w:p>
              </w:tc>
              <w:tc>
                <w:tcPr>
                  <w:tcW w:w="1103" w:type="dxa"/>
                  <w:vMerge w:val="restart"/>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VOCS</w:t>
                  </w:r>
                </w:p>
              </w:tc>
              <w:tc>
                <w:tcPr>
                  <w:tcW w:w="111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10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tcBorders>
                    <w:top w:val="single" w:color="auto" w:sz="2" w:space="0"/>
                    <w:left w:val="single" w:color="auto" w:sz="2" w:space="0"/>
                    <w:bottom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《挥发性有机物无组织排放控制标准》（GB37822-2019)表A.1厂区内VOCS无组织排放限值中厂房外监控点处1h平均浓度值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blHeader/>
              </w:trPr>
              <w:tc>
                <w:tcPr>
                  <w:tcW w:w="1194" w:type="dxa"/>
                  <w:vMerge w:val="continue"/>
                  <w:tcBorders>
                    <w:top w:val="single" w:color="auto" w:sz="2" w:space="0"/>
                    <w:bottom w:val="single" w:color="auto" w:sz="1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03" w:type="dxa"/>
                  <w:vMerge w:val="continue"/>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p>
              </w:tc>
              <w:tc>
                <w:tcPr>
                  <w:tcW w:w="1113"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w:t>
                  </w:r>
                </w:p>
              </w:tc>
              <w:tc>
                <w:tcPr>
                  <w:tcW w:w="1045"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3900" w:type="dxa"/>
                  <w:tcBorders>
                    <w:top w:val="single" w:color="auto" w:sz="2" w:space="0"/>
                    <w:left w:val="single" w:color="auto" w:sz="2" w:space="0"/>
                    <w:bottom w:val="single" w:color="auto" w:sz="12" w:space="0"/>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《挥发性有机物无组织排放控制标准》（GB37822-2019)表A.1厂区内VOCS无组织排放限值中厂房外监控点处任意一次浓度值</w:t>
                  </w:r>
                </w:p>
              </w:tc>
            </w:tr>
          </w:tbl>
          <w:p>
            <w:pPr>
              <w:pStyle w:val="2"/>
              <w:keepNext w:val="0"/>
              <w:keepLines w:val="0"/>
              <w:suppressLineNumbers w:val="0"/>
              <w:spacing w:beforeAutospacing="0" w:afterAutospacing="0"/>
              <w:ind w:left="0"/>
              <w:rPr>
                <w:rFonts w:hint="default"/>
                <w:lang w:val="en-US"/>
              </w:rPr>
            </w:pP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本项目处于居民区与工厂混合区，</w:t>
            </w:r>
            <w:r>
              <w:rPr>
                <w:rFonts w:hint="default" w:ascii="Times New Roman" w:hAnsi="Times New Roman" w:eastAsia="宋体" w:cs="Times New Roman"/>
                <w:color w:val="000000"/>
                <w:sz w:val="24"/>
              </w:rPr>
              <w:t>厂界噪声执行《工业企业厂界环境噪声排放标准》(GB12348-2008)</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类标准，夜间</w:t>
            </w:r>
            <w:r>
              <w:rPr>
                <w:rFonts w:hint="eastAsia" w:ascii="Times New Roman" w:hAnsi="Times New Roman" w:eastAsia="宋体" w:cs="Times New Roman"/>
                <w:color w:val="000000"/>
                <w:sz w:val="24"/>
                <w:lang w:val="en-US" w:eastAsia="zh-CN"/>
              </w:rPr>
              <w:t>50</w:t>
            </w:r>
            <w:r>
              <w:rPr>
                <w:rFonts w:hint="default" w:ascii="Times New Roman" w:hAnsi="Times New Roman" w:eastAsia="宋体" w:cs="Times New Roman"/>
                <w:color w:val="000000"/>
                <w:sz w:val="24"/>
              </w:rPr>
              <w:t>db(A)，昼间</w:t>
            </w:r>
            <w:r>
              <w:rPr>
                <w:rFonts w:hint="eastAsia" w:ascii="Times New Roman" w:hAnsi="Times New Roman" w:eastAsia="宋体" w:cs="Times New Roman"/>
                <w:color w:val="000000"/>
                <w:sz w:val="24"/>
                <w:lang w:val="en-US" w:eastAsia="zh-CN"/>
              </w:rPr>
              <w:t>60</w:t>
            </w:r>
            <w:r>
              <w:rPr>
                <w:rFonts w:hint="default" w:ascii="Times New Roman" w:hAnsi="Times New Roman" w:eastAsia="宋体" w:cs="Times New Roman"/>
                <w:color w:val="000000"/>
                <w:sz w:val="24"/>
              </w:rPr>
              <w:t>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lang w:val="en-US" w:eastAsia="zh-CN"/>
              </w:rPr>
              <w:t>三、固体废物</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一般固废贮存执行</w:t>
            </w:r>
            <w:r>
              <w:rPr>
                <w:rFonts w:hint="eastAsia" w:ascii="Times New Roman" w:hAnsi="Times New Roman" w:eastAsia="宋体" w:cs="Times New Roman"/>
                <w:color w:val="auto"/>
                <w:sz w:val="24"/>
                <w:lang w:val="en-US" w:eastAsia="zh-CN"/>
              </w:rPr>
              <w:t>《一般工业固体废物贮存和填埋污染控制标准》 （GB18599-2020）</w:t>
            </w:r>
            <w:r>
              <w:rPr>
                <w:rFonts w:hint="default" w:ascii="Times New Roman" w:hAnsi="Times New Roman" w:eastAsia="宋体"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rPr>
              <w:t>危险废物贮存执行《危险废物贮存污染控制标准》(GB18597-2001)及环保部</w:t>
            </w:r>
            <w:r>
              <w:rPr>
                <w:rFonts w:hint="default" w:ascii="Times New Roman" w:hAnsi="Times New Roman" w:eastAsia="MS Gothic" w:cs="Times New Roman"/>
                <w:color w:val="auto"/>
                <w:sz w:val="24"/>
              </w:rPr>
              <w:t>2013</w:t>
            </w:r>
            <w:r>
              <w:rPr>
                <w:rFonts w:hint="default" w:ascii="Times New Roman" w:hAnsi="Times New Roman" w:eastAsia="宋体" w:cs="Times New Roman"/>
                <w:color w:val="auto"/>
                <w:sz w:val="24"/>
              </w:rPr>
              <w:t>年第</w:t>
            </w:r>
            <w:r>
              <w:rPr>
                <w:rFonts w:hint="default" w:ascii="Times New Roman" w:hAnsi="Times New Roman" w:eastAsia="MS Gothic" w:cs="Times New Roman"/>
                <w:color w:val="auto"/>
                <w:sz w:val="24"/>
              </w:rPr>
              <w:t>36</w:t>
            </w:r>
            <w:r>
              <w:rPr>
                <w:rFonts w:hint="default" w:ascii="Times New Roman" w:hAnsi="Times New Roman" w:eastAsia="宋体" w:cs="Times New Roman"/>
                <w:color w:val="auto"/>
                <w:sz w:val="24"/>
              </w:rPr>
              <w:t>号文中相关修订。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8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kern w:val="0"/>
                <w:sz w:val="28"/>
                <w:szCs w:val="28"/>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 w:val="28"/>
                <w:szCs w:val="28"/>
              </w:rPr>
              <w:t>指标</w:t>
            </w:r>
          </w:p>
        </w:tc>
        <w:tc>
          <w:tcPr>
            <w:tcW w:w="8574"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lang w:val="en-US" w:eastAsia="zh-CN"/>
              </w:rPr>
              <w:t>本项目总量控制见表3-</w:t>
            </w:r>
            <w:r>
              <w:rPr>
                <w:rFonts w:hint="eastAsia" w:ascii="Times New Roman" w:hAnsi="Times New Roman" w:cs="Times New Roman"/>
                <w:bCs/>
                <w:color w:val="auto"/>
                <w:sz w:val="24"/>
                <w:szCs w:val="24"/>
                <w:lang w:val="en-US" w:eastAsia="zh-CN"/>
              </w:rPr>
              <w:t>10</w:t>
            </w:r>
            <w:r>
              <w:rPr>
                <w:rFonts w:hint="default" w:ascii="Times New Roman" w:hAnsi="Times New Roman" w:eastAsia="宋体" w:cs="Times New Roman"/>
                <w:bCs/>
                <w:color w:val="auto"/>
                <w:sz w:val="24"/>
                <w:szCs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表3-</w:t>
            </w:r>
            <w:r>
              <w:rPr>
                <w:rFonts w:hint="eastAsia" w:ascii="Times New Roman" w:hAnsi="Times New Roman" w:cs="Times New Roman"/>
                <w:b/>
                <w:bCs w:val="0"/>
                <w:color w:val="auto"/>
                <w:sz w:val="24"/>
                <w:szCs w:val="24"/>
                <w:lang w:val="en-US" w:eastAsia="zh-CN"/>
              </w:rPr>
              <w:t>10</w:t>
            </w:r>
            <w:r>
              <w:rPr>
                <w:rFonts w:hint="default" w:ascii="Times New Roman" w:hAnsi="Times New Roman" w:eastAsia="宋体" w:cs="Times New Roman"/>
                <w:b/>
                <w:bCs w:val="0"/>
                <w:color w:val="auto"/>
                <w:sz w:val="24"/>
                <w:szCs w:val="24"/>
                <w:lang w:val="en-US" w:eastAsia="zh-CN"/>
              </w:rPr>
              <w:t xml:space="preserve"> 总量控制</w:t>
            </w:r>
          </w:p>
          <w:tbl>
            <w:tblPr>
              <w:tblStyle w:val="23"/>
              <w:tblW w:w="83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858"/>
              <w:gridCol w:w="1200"/>
              <w:gridCol w:w="2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9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名称</w:t>
                  </w:r>
                </w:p>
              </w:tc>
              <w:tc>
                <w:tcPr>
                  <w:tcW w:w="3858"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污染物</w:t>
                  </w:r>
                </w:p>
              </w:tc>
              <w:tc>
                <w:tcPr>
                  <w:tcW w:w="1200"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单位</w:t>
                  </w:r>
                </w:p>
              </w:tc>
              <w:tc>
                <w:tcPr>
                  <w:tcW w:w="2098"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199"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废气</w:t>
                  </w:r>
                </w:p>
              </w:tc>
              <w:tc>
                <w:tcPr>
                  <w:tcW w:w="3858"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vertAlign w:val="baseline"/>
                      <w:lang w:val="en-US" w:eastAsia="zh-CN"/>
                    </w:rPr>
                    <w:t>VOCs（以非甲烷总烃计）</w:t>
                  </w:r>
                </w:p>
              </w:tc>
              <w:tc>
                <w:tcPr>
                  <w:tcW w:w="1200"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smallCaps w:val="0"/>
                      <w:color w:val="auto"/>
                      <w:kern w:val="2"/>
                      <w:sz w:val="21"/>
                      <w:szCs w:val="21"/>
                      <w:highlight w:val="none"/>
                      <w:lang w:val="en-US" w:eastAsia="zh-CN" w:bidi="ar-SA"/>
                    </w:rPr>
                  </w:pPr>
                  <w:r>
                    <w:rPr>
                      <w:rFonts w:hint="default" w:ascii="Times New Roman" w:hAnsi="Times New Roman" w:eastAsia="宋体" w:cs="Times New Roman"/>
                      <w:bCs/>
                      <w:smallCaps w:val="0"/>
                      <w:color w:val="auto"/>
                      <w:kern w:val="2"/>
                      <w:sz w:val="21"/>
                      <w:szCs w:val="21"/>
                      <w:highlight w:val="none"/>
                      <w:lang w:val="en-US" w:eastAsia="zh-CN" w:bidi="ar-SA"/>
                    </w:rPr>
                    <w:t>t/a</w:t>
                  </w:r>
                </w:p>
              </w:tc>
              <w:tc>
                <w:tcPr>
                  <w:tcW w:w="2098" w:type="dxa"/>
                  <w:tcBorders>
                    <w:tl2br w:val="nil"/>
                    <w:tr2bl w:val="nil"/>
                  </w:tcBorders>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0.27</w:t>
                  </w:r>
                </w:p>
              </w:tc>
            </w:tr>
          </w:tbl>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lang w:val="en-US" w:eastAsia="zh-CN"/>
              </w:rPr>
            </w:pPr>
          </w:p>
        </w:tc>
      </w:tr>
    </w:tbl>
    <w:p>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2"/>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2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3" w:hRule="atLeast"/>
          <w:jc w:val="center"/>
        </w:trPr>
        <w:tc>
          <w:tcPr>
            <w:tcW w:w="703" w:type="dxa"/>
            <w:tcMar>
              <w:left w:w="28" w:type="dxa"/>
              <w:right w:w="28" w:type="dxa"/>
            </w:tcMar>
            <w:vAlign w:val="center"/>
          </w:tcPr>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施工</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期环</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境保</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护措</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4"/>
                <w:szCs w:val="24"/>
              </w:rPr>
            </w:pPr>
            <w:r>
              <w:rPr>
                <w:rFonts w:hint="default" w:ascii="Times New Roman" w:hAnsi="Times New Roman" w:eastAsia="宋体" w:cs="Times New Roman"/>
                <w:kern w:val="2"/>
                <w:sz w:val="24"/>
                <w:szCs w:val="24"/>
              </w:rPr>
              <w:t>施</w:t>
            </w:r>
          </w:p>
        </w:tc>
        <w:tc>
          <w:tcPr>
            <w:tcW w:w="8278"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rPr>
              <w:t>施工期</w:t>
            </w:r>
            <w:r>
              <w:rPr>
                <w:rFonts w:hint="default" w:ascii="Times New Roman" w:hAnsi="Times New Roman" w:eastAsia="宋体" w:cs="Times New Roman"/>
                <w:bCs/>
                <w:color w:val="auto"/>
                <w:sz w:val="24"/>
                <w:szCs w:val="24"/>
                <w:lang w:val="en-US" w:eastAsia="zh-CN"/>
              </w:rPr>
              <w:t>的主要</w:t>
            </w:r>
            <w:r>
              <w:rPr>
                <w:rFonts w:hint="default" w:ascii="Times New Roman" w:hAnsi="Times New Roman" w:cs="Times New Roman"/>
                <w:bCs/>
                <w:color w:val="auto"/>
                <w:sz w:val="24"/>
                <w:szCs w:val="24"/>
                <w:lang w:val="en-US" w:eastAsia="zh-CN"/>
              </w:rPr>
              <w:t>建设</w:t>
            </w:r>
            <w:r>
              <w:rPr>
                <w:rFonts w:hint="default" w:ascii="Times New Roman" w:hAnsi="Times New Roman" w:eastAsia="宋体" w:cs="Times New Roman"/>
                <w:bCs/>
                <w:color w:val="auto"/>
                <w:sz w:val="24"/>
                <w:szCs w:val="24"/>
                <w:lang w:val="en-US" w:eastAsia="zh-CN"/>
              </w:rPr>
              <w:t>内容为生产车间安装生产设备和环保设施</w:t>
            </w:r>
            <w:r>
              <w:rPr>
                <w:rFonts w:hint="default" w:ascii="Times New Roman" w:hAnsi="Times New Roman" w:cs="Times New Roman"/>
                <w:bCs/>
                <w:color w:val="auto"/>
                <w:sz w:val="24"/>
                <w:szCs w:val="24"/>
                <w:lang w:val="en-US" w:eastAsia="zh-CN"/>
              </w:rPr>
              <w:t>及办公室装修</w:t>
            </w:r>
            <w:r>
              <w:rPr>
                <w:rFonts w:hint="default" w:ascii="Times New Roman" w:hAnsi="Times New Roman" w:eastAsia="宋体" w:cs="Times New Roman"/>
                <w:bCs/>
                <w:color w:val="auto"/>
                <w:sz w:val="24"/>
                <w:szCs w:val="24"/>
                <w:lang w:val="en-US" w:eastAsia="zh-CN"/>
              </w:rPr>
              <w:t>。产生的</w:t>
            </w:r>
            <w:r>
              <w:rPr>
                <w:rFonts w:hint="default" w:ascii="Times New Roman" w:hAnsi="Times New Roman" w:eastAsia="宋体" w:cs="Times New Roman"/>
                <w:bCs/>
                <w:color w:val="auto"/>
                <w:sz w:val="24"/>
                <w:szCs w:val="24"/>
              </w:rPr>
              <w:t>环境</w:t>
            </w:r>
            <w:r>
              <w:rPr>
                <w:rFonts w:hint="default" w:ascii="Times New Roman" w:hAnsi="Times New Roman" w:eastAsia="宋体" w:cs="Times New Roman"/>
                <w:bCs/>
                <w:color w:val="auto"/>
                <w:sz w:val="24"/>
                <w:szCs w:val="24"/>
                <w:lang w:val="en-US" w:eastAsia="zh-CN"/>
              </w:rPr>
              <w:t>影响包括</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建筑工人产生的生活垃圾和生活污水，建筑施工产生的扬尘、建筑垃圾和施工废水，以及</w:t>
            </w:r>
            <w:r>
              <w:rPr>
                <w:rFonts w:hint="default" w:ascii="Times New Roman" w:hAnsi="Times New Roman" w:eastAsia="宋体" w:cs="Times New Roman"/>
                <w:bCs/>
                <w:color w:val="auto"/>
                <w:sz w:val="24"/>
                <w:szCs w:val="24"/>
              </w:rPr>
              <w:t>运输车辆噪声和施工噪声。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施工期的废水主要来自于建筑施工废水和施工人员的生活污水(包括粪便污水、清洗污水等)。其中以粪便污水污染物浓度最高。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根据本项目的性质和规模，</w:t>
            </w:r>
            <w:r>
              <w:rPr>
                <w:rFonts w:hint="default" w:ascii="Times New Roman" w:hAnsi="Times New Roman" w:eastAsia="宋体" w:cs="Times New Roman"/>
                <w:bCs/>
                <w:color w:val="auto"/>
                <w:sz w:val="24"/>
                <w:szCs w:val="24"/>
                <w:lang w:val="en-US" w:eastAsia="zh-CN"/>
              </w:rPr>
              <w:t>建筑工人的生活污水，</w:t>
            </w:r>
            <w:r>
              <w:rPr>
                <w:rFonts w:hint="default" w:ascii="Times New Roman" w:hAnsi="Times New Roman" w:eastAsia="宋体" w:cs="Times New Roman"/>
                <w:bCs/>
                <w:color w:val="auto"/>
                <w:sz w:val="24"/>
                <w:szCs w:val="24"/>
              </w:rPr>
              <w:t>类比同类工程情况，初步估计</w:t>
            </w:r>
            <w:r>
              <w:rPr>
                <w:rFonts w:hint="default" w:ascii="Times New Roman" w:hAnsi="Times New Roman" w:eastAsia="宋体" w:cs="Times New Roman"/>
                <w:bCs/>
                <w:color w:val="auto"/>
                <w:sz w:val="24"/>
                <w:szCs w:val="24"/>
                <w:lang w:val="en-US" w:eastAsia="zh-CN"/>
              </w:rPr>
              <w:t>本项目的</w:t>
            </w:r>
            <w:r>
              <w:rPr>
                <w:rFonts w:hint="default" w:ascii="Times New Roman" w:hAnsi="Times New Roman" w:eastAsia="宋体" w:cs="Times New Roman"/>
                <w:bCs/>
                <w:color w:val="auto"/>
                <w:sz w:val="24"/>
                <w:szCs w:val="24"/>
              </w:rPr>
              <w:t>施工人员</w:t>
            </w:r>
            <w:r>
              <w:rPr>
                <w:rFonts w:hint="default" w:ascii="Times New Roman" w:hAnsi="Times New Roman" w:eastAsia="宋体" w:cs="Times New Roman"/>
                <w:bCs/>
                <w:color w:val="auto"/>
                <w:sz w:val="24"/>
                <w:szCs w:val="24"/>
                <w:lang w:val="en-US" w:eastAsia="zh-CN"/>
              </w:rPr>
              <w:t>约10</w:t>
            </w:r>
            <w:r>
              <w:rPr>
                <w:rFonts w:hint="default" w:ascii="Times New Roman" w:hAnsi="Times New Roman" w:eastAsia="宋体" w:cs="Times New Roman"/>
                <w:bCs/>
                <w:color w:val="auto"/>
                <w:sz w:val="24"/>
                <w:szCs w:val="24"/>
              </w:rPr>
              <w:t>人，按30L/人·d 计，则生活用水量为0.</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t/d，污染</w:t>
            </w:r>
            <w:r>
              <w:rPr>
                <w:rFonts w:hint="default" w:ascii="Times New Roman" w:hAnsi="Times New Roman" w:eastAsia="宋体" w:cs="Times New Roman"/>
                <w:bCs/>
                <w:color w:val="auto"/>
                <w:sz w:val="24"/>
                <w:szCs w:val="24"/>
                <w:lang w:val="en-US" w:eastAsia="zh-CN"/>
              </w:rPr>
              <w:t>物</w:t>
            </w:r>
            <w:r>
              <w:rPr>
                <w:rFonts w:hint="default" w:ascii="Times New Roman" w:hAnsi="Times New Roman" w:eastAsia="宋体" w:cs="Times New Roman"/>
                <w:bCs/>
                <w:color w:val="auto"/>
                <w:sz w:val="24"/>
                <w:szCs w:val="24"/>
              </w:rPr>
              <w:t>排放系数按</w:t>
            </w:r>
            <w:r>
              <w:rPr>
                <w:rFonts w:hint="default" w:ascii="Times New Roman" w:hAnsi="Times New Roman" w:eastAsia="宋体" w:cs="Times New Roman"/>
                <w:bCs/>
                <w:color w:val="auto"/>
                <w:sz w:val="24"/>
                <w:szCs w:val="24"/>
                <w:lang w:val="en-US" w:eastAsia="zh-CN"/>
              </w:rPr>
              <w:t>80%</w:t>
            </w:r>
            <w:r>
              <w:rPr>
                <w:rFonts w:hint="default" w:ascii="Times New Roman" w:hAnsi="Times New Roman" w:eastAsia="宋体" w:cs="Times New Roman"/>
                <w:bCs/>
                <w:color w:val="auto"/>
                <w:sz w:val="24"/>
                <w:szCs w:val="24"/>
              </w:rPr>
              <w:t>计，生活</w:t>
            </w:r>
            <w:r>
              <w:rPr>
                <w:rFonts w:hint="default" w:ascii="Times New Roman" w:hAnsi="Times New Roman" w:eastAsia="宋体" w:cs="Times New Roman"/>
                <w:bCs/>
                <w:color w:val="auto"/>
                <w:sz w:val="24"/>
                <w:szCs w:val="24"/>
                <w:lang w:val="en-US" w:eastAsia="zh-CN"/>
              </w:rPr>
              <w:t>污水的</w:t>
            </w:r>
            <w:r>
              <w:rPr>
                <w:rFonts w:hint="default" w:ascii="Times New Roman" w:hAnsi="Times New Roman" w:eastAsia="宋体" w:cs="Times New Roman"/>
                <w:bCs/>
                <w:color w:val="auto"/>
                <w:sz w:val="24"/>
                <w:szCs w:val="24"/>
              </w:rPr>
              <w:t>排放量为0.</w:t>
            </w:r>
            <w:r>
              <w:rPr>
                <w:rFonts w:hint="default" w:ascii="Times New Roman" w:hAnsi="Times New Roman" w:eastAsia="宋体" w:cs="Times New Roman"/>
                <w:bCs/>
                <w:color w:val="auto"/>
                <w:sz w:val="24"/>
                <w:szCs w:val="24"/>
                <w:lang w:val="en-US" w:eastAsia="zh-CN"/>
              </w:rPr>
              <w:t>24</w:t>
            </w:r>
            <w:r>
              <w:rPr>
                <w:rFonts w:hint="default" w:ascii="Times New Roman" w:hAnsi="Times New Roman" w:eastAsia="宋体" w:cs="Times New Roman"/>
                <w:bCs/>
                <w:color w:val="auto"/>
                <w:sz w:val="24"/>
                <w:szCs w:val="24"/>
              </w:rPr>
              <w:t>t/d</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施工周期</w:t>
            </w:r>
            <w:r>
              <w:rPr>
                <w:rFonts w:hint="default" w:ascii="Times New Roman" w:hAnsi="Times New Roman" w:eastAsia="宋体" w:cs="Times New Roman"/>
                <w:bCs/>
                <w:color w:val="auto"/>
                <w:sz w:val="24"/>
                <w:szCs w:val="24"/>
                <w:lang w:val="en-US" w:eastAsia="zh-CN"/>
              </w:rPr>
              <w:t>约</w:t>
            </w:r>
            <w:r>
              <w:rPr>
                <w:rFonts w:hint="default" w:ascii="Times New Roman" w:hAnsi="Times New Roman"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0天</w:t>
            </w:r>
            <w:r>
              <w:rPr>
                <w:rFonts w:hint="default" w:ascii="Times New Roman" w:hAnsi="Times New Roman" w:eastAsia="宋体" w:cs="Times New Roman"/>
                <w:bCs/>
                <w:color w:val="auto"/>
                <w:sz w:val="24"/>
                <w:szCs w:val="24"/>
              </w:rPr>
              <w:t>，则施工阶段生活污水</w:t>
            </w:r>
            <w:r>
              <w:rPr>
                <w:rFonts w:hint="default" w:ascii="Times New Roman" w:hAnsi="Times New Roman" w:eastAsia="宋体" w:cs="Times New Roman"/>
                <w:bCs/>
                <w:color w:val="auto"/>
                <w:sz w:val="24"/>
                <w:szCs w:val="24"/>
                <w:lang w:val="en-US" w:eastAsia="zh-CN"/>
              </w:rPr>
              <w:t>排放量</w:t>
            </w:r>
            <w:r>
              <w:rPr>
                <w:rFonts w:hint="default" w:ascii="Times New Roman" w:hAnsi="Times New Roman" w:eastAsia="宋体" w:cs="Times New Roman"/>
                <w:bCs/>
                <w:color w:val="auto"/>
                <w:sz w:val="24"/>
                <w:szCs w:val="24"/>
              </w:rPr>
              <w:t>为</w:t>
            </w:r>
            <w:r>
              <w:rPr>
                <w:rFonts w:hint="default" w:ascii="Times New Roman" w:hAnsi="Times New Roman" w:cs="Times New Roman"/>
                <w:bCs/>
                <w:color w:val="auto"/>
                <w:sz w:val="24"/>
                <w:szCs w:val="24"/>
                <w:lang w:val="en-US" w:eastAsia="zh-CN"/>
              </w:rPr>
              <w:t>4.8</w:t>
            </w:r>
            <w:r>
              <w:rPr>
                <w:rFonts w:hint="default" w:ascii="Times New Roman" w:hAnsi="Times New Roman" w:eastAsia="宋体" w:cs="Times New Roman"/>
                <w:bCs/>
                <w:color w:val="auto"/>
                <w:sz w:val="24"/>
                <w:szCs w:val="24"/>
              </w:rPr>
              <w:t>t，施工阶段施工人员生活污水排入附近防渗旱厕中。</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rPr>
            </w:pPr>
            <w:r>
              <w:rPr>
                <w:rFonts w:hint="default" w:ascii="Times New Roman" w:hAnsi="Times New Roman" w:eastAsia="宋体" w:cs="Times New Roman"/>
                <w:bCs/>
                <w:color w:val="auto"/>
                <w:sz w:val="24"/>
                <w:szCs w:val="24"/>
                <w:lang w:val="en-US" w:eastAsia="zh-CN"/>
              </w:rPr>
              <w:t>施工期的主要废气污染物为扬尘，建设单位应在建筑工地外设置围挡，严禁敞开式作业；对周围的落尘应当定期清洗，保证施工工地周围环境整洁。施工工地堆放易产生扬尘污染的物料，应及时覆盖；施工现场的弃土、弃料及其他建筑垃圾应及时清运，若在工地内堆置超过48小时，应进行覆盖。运输各种材料、垃圾等有遮盖和防护措施，防止泥浆等随车带出场外，影响环境卫生。控制进出车辆的次数，尽量减少汽车尾气对周围环境的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施工期噪声主要来自施工车辆运输噪声及房屋</w:t>
            </w:r>
            <w:r>
              <w:rPr>
                <w:rFonts w:hint="default" w:ascii="Times New Roman" w:hAnsi="Times New Roman" w:eastAsia="宋体" w:cs="Times New Roman"/>
                <w:bCs/>
                <w:color w:val="auto"/>
                <w:sz w:val="24"/>
                <w:szCs w:val="24"/>
                <w:lang w:val="en-US" w:eastAsia="zh-CN"/>
              </w:rPr>
              <w:t>建筑</w:t>
            </w:r>
            <w:r>
              <w:rPr>
                <w:rFonts w:hint="default" w:ascii="Times New Roman" w:hAnsi="Times New Roman" w:eastAsia="宋体" w:cs="Times New Roman"/>
                <w:bCs/>
                <w:color w:val="auto"/>
                <w:sz w:val="24"/>
                <w:szCs w:val="24"/>
              </w:rPr>
              <w:t>过程中产生的施工噪声，其源强在70~80dB(A)之间，噪声具有间歇性。</w:t>
            </w:r>
            <w:r>
              <w:rPr>
                <w:rFonts w:hint="default" w:ascii="Times New Roman" w:hAnsi="Times New Roman" w:eastAsia="宋体" w:cs="Times New Roman"/>
                <w:bCs/>
                <w:color w:val="auto"/>
                <w:sz w:val="24"/>
                <w:szCs w:val="24"/>
                <w:lang w:val="en-US" w:eastAsia="zh-CN"/>
              </w:rPr>
              <w:t>项目单位应将施工内容安排在昼间进行，夜间不施工，减少施工噪声对周围居民的影响。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施工期</w:t>
            </w:r>
            <w:r>
              <w:rPr>
                <w:rFonts w:hint="default" w:ascii="Times New Roman" w:hAnsi="Times New Roman" w:eastAsia="宋体" w:cs="Times New Roman"/>
                <w:bCs/>
                <w:color w:val="auto"/>
                <w:sz w:val="24"/>
                <w:szCs w:val="24"/>
              </w:rPr>
              <w:t>固体废物主要</w:t>
            </w:r>
            <w:r>
              <w:rPr>
                <w:rFonts w:hint="default" w:ascii="Times New Roman" w:hAnsi="Times New Roman" w:eastAsia="宋体" w:cs="Times New Roman"/>
                <w:bCs/>
                <w:color w:val="auto"/>
                <w:sz w:val="24"/>
                <w:szCs w:val="24"/>
                <w:lang w:val="en-US" w:eastAsia="zh-CN"/>
              </w:rPr>
              <w:t>来自</w:t>
            </w:r>
            <w:r>
              <w:rPr>
                <w:rFonts w:hint="default" w:ascii="Times New Roman" w:hAnsi="Times New Roman" w:eastAsia="宋体" w:cs="Times New Roman"/>
                <w:bCs/>
                <w:color w:val="auto"/>
                <w:sz w:val="24"/>
                <w:szCs w:val="24"/>
              </w:rPr>
              <w:t>施工人员的生活垃圾和建筑垃圾等。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spacing w:val="-10"/>
                <w:sz w:val="24"/>
                <w:szCs w:val="24"/>
              </w:rPr>
            </w:pPr>
            <w:r>
              <w:rPr>
                <w:rFonts w:hint="default" w:ascii="Times New Roman" w:hAnsi="Times New Roman" w:eastAsia="宋体" w:cs="Times New Roman"/>
                <w:bCs/>
                <w:color w:val="auto"/>
                <w:sz w:val="24"/>
                <w:szCs w:val="24"/>
              </w:rPr>
              <w:t>施工期</w:t>
            </w:r>
            <w:r>
              <w:rPr>
                <w:rFonts w:hint="default" w:ascii="Times New Roman" w:hAnsi="Times New Roman" w:eastAsia="宋体" w:cs="Times New Roman"/>
                <w:bCs/>
                <w:color w:val="auto"/>
                <w:sz w:val="24"/>
                <w:szCs w:val="24"/>
                <w:lang w:val="en-US" w:eastAsia="zh-CN"/>
              </w:rPr>
              <w:t>的生活垃圾</w:t>
            </w:r>
            <w:r>
              <w:rPr>
                <w:rFonts w:hint="default" w:ascii="Times New Roman" w:hAnsi="Times New Roman" w:eastAsia="宋体" w:cs="Times New Roman"/>
                <w:bCs/>
                <w:color w:val="auto"/>
                <w:sz w:val="24"/>
                <w:szCs w:val="24"/>
              </w:rPr>
              <w:t>产生量按1kg/(人·日)计，施工人员约</w:t>
            </w:r>
            <w:r>
              <w:rPr>
                <w:rFonts w:hint="default"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rPr>
              <w:t>人，</w:t>
            </w:r>
            <w:r>
              <w:rPr>
                <w:rFonts w:hint="default" w:ascii="Times New Roman" w:hAnsi="Times New Roman" w:eastAsia="宋体" w:cs="Times New Roman"/>
                <w:bCs/>
                <w:color w:val="auto"/>
                <w:sz w:val="24"/>
                <w:szCs w:val="24"/>
                <w:lang w:val="en-US" w:eastAsia="zh-CN"/>
              </w:rPr>
              <w:t>则</w:t>
            </w:r>
            <w:r>
              <w:rPr>
                <w:rFonts w:hint="default" w:ascii="Times New Roman" w:hAnsi="Times New Roman" w:eastAsia="宋体" w:cs="Times New Roman"/>
                <w:bCs/>
                <w:color w:val="auto"/>
                <w:sz w:val="24"/>
                <w:szCs w:val="24"/>
              </w:rPr>
              <w:t>生活垃圾</w:t>
            </w:r>
            <w:r>
              <w:rPr>
                <w:rFonts w:hint="default" w:ascii="Times New Roman" w:hAnsi="Times New Roman" w:eastAsia="宋体" w:cs="Times New Roman"/>
                <w:bCs/>
                <w:color w:val="auto"/>
                <w:sz w:val="24"/>
                <w:szCs w:val="24"/>
                <w:lang w:val="en-US" w:eastAsia="zh-CN"/>
              </w:rPr>
              <w:t>产生</w:t>
            </w:r>
            <w:r>
              <w:rPr>
                <w:rFonts w:hint="default" w:ascii="Times New Roman" w:hAnsi="Times New Roman" w:eastAsia="宋体" w:cs="Times New Roman"/>
                <w:bCs/>
                <w:color w:val="auto"/>
                <w:sz w:val="24"/>
                <w:szCs w:val="24"/>
              </w:rPr>
              <w:t>量为</w:t>
            </w:r>
            <w:r>
              <w:rPr>
                <w:rFonts w:hint="default"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rPr>
              <w:t>kg/d，</w:t>
            </w:r>
            <w:r>
              <w:rPr>
                <w:rFonts w:hint="default" w:ascii="Times New Roman" w:hAnsi="Times New Roman" w:eastAsia="宋体" w:cs="Times New Roman"/>
                <w:bCs/>
                <w:color w:val="auto"/>
                <w:sz w:val="24"/>
                <w:szCs w:val="24"/>
                <w:lang w:val="en-US" w:eastAsia="zh-CN"/>
              </w:rPr>
              <w:t>施工工期按</w:t>
            </w:r>
            <w:r>
              <w:rPr>
                <w:rFonts w:hint="eastAsia" w:ascii="Times New Roman" w:hAnsi="Times New Roman"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0天计，则产生的生活垃圾总量为0.</w:t>
            </w:r>
            <w:r>
              <w:rPr>
                <w:rFonts w:hint="eastAsia" w:ascii="Times New Roman" w:hAnsi="Times New Roman" w:cs="Times New Roman"/>
                <w:bCs/>
                <w:color w:val="auto"/>
                <w:sz w:val="24"/>
                <w:szCs w:val="24"/>
                <w:lang w:val="en-US" w:eastAsia="zh-CN"/>
              </w:rPr>
              <w:t>2</w:t>
            </w:r>
            <w:r>
              <w:rPr>
                <w:rFonts w:hint="default" w:ascii="Times New Roman" w:hAnsi="Times New Roman" w:eastAsia="宋体" w:cs="Times New Roman"/>
                <w:bCs/>
                <w:color w:val="auto"/>
                <w:sz w:val="24"/>
                <w:szCs w:val="24"/>
              </w:rPr>
              <w:t>t。</w:t>
            </w:r>
            <w:r>
              <w:rPr>
                <w:rFonts w:hint="default" w:ascii="Times New Roman" w:hAnsi="Times New Roman" w:cs="Times New Roman"/>
                <w:bCs/>
                <w:color w:val="auto"/>
                <w:sz w:val="24"/>
                <w:szCs w:val="24"/>
                <w:lang w:val="en-US" w:eastAsia="zh-CN"/>
              </w:rPr>
              <w:t>生活垃圾集中收集，交由环卫部门处理；</w:t>
            </w:r>
            <w:r>
              <w:rPr>
                <w:rFonts w:hint="default" w:ascii="Times New Roman" w:hAnsi="Times New Roman" w:eastAsia="宋体" w:cs="Times New Roman"/>
                <w:bCs/>
                <w:color w:val="auto"/>
                <w:sz w:val="24"/>
                <w:szCs w:val="24"/>
              </w:rPr>
              <w:t>施工建筑垃圾，</w:t>
            </w:r>
            <w:r>
              <w:rPr>
                <w:rFonts w:hint="default" w:ascii="Times New Roman" w:hAnsi="Times New Roman" w:eastAsia="宋体" w:cs="Times New Roman"/>
                <w:bCs/>
                <w:color w:val="auto"/>
                <w:sz w:val="24"/>
                <w:szCs w:val="24"/>
                <w:lang w:val="en-US" w:eastAsia="zh-CN"/>
              </w:rPr>
              <w:t>由施工单位</w:t>
            </w:r>
            <w:r>
              <w:rPr>
                <w:rFonts w:hint="default" w:ascii="Times New Roman" w:hAnsi="Times New Roman" w:cs="Times New Roman"/>
                <w:bCs/>
                <w:color w:val="auto"/>
                <w:sz w:val="24"/>
                <w:szCs w:val="24"/>
                <w:lang w:val="en-US" w:eastAsia="zh-CN"/>
              </w:rPr>
              <w:t>负责拉运</w:t>
            </w:r>
            <w:r>
              <w:rPr>
                <w:rFonts w:hint="default" w:ascii="Times New Roman" w:hAnsi="Times New Roman" w:eastAsia="宋体" w:cs="Times New Roman"/>
                <w:bCs/>
                <w:color w:val="auto"/>
                <w:sz w:val="24"/>
                <w:szCs w:val="24"/>
                <w:lang w:val="en-US" w:eastAsia="zh-CN"/>
              </w:rPr>
              <w:t>处理</w:t>
            </w:r>
            <w:r>
              <w:rPr>
                <w:rFonts w:hint="default" w:ascii="Times New Roman" w:hAnsi="Times New Roman" w:eastAsia="宋体" w:cs="Times New Roman"/>
                <w:bCs/>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3" w:hRule="atLeast"/>
          <w:jc w:val="center"/>
        </w:trPr>
        <w:tc>
          <w:tcPr>
            <w:tcW w:w="70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保护</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bCs/>
                <w:sz w:val="24"/>
                <w:szCs w:val="24"/>
              </w:rPr>
              <w:t>措施</w:t>
            </w:r>
          </w:p>
        </w:tc>
        <w:tc>
          <w:tcPr>
            <w:tcW w:w="8278"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一、废水</w:t>
            </w:r>
          </w:p>
          <w:p>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1、生活污水</w:t>
            </w:r>
          </w:p>
          <w:p>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本项目生活污水产生量为0.32t/d（</w:t>
            </w:r>
            <w:r>
              <w:rPr>
                <w:rFonts w:hint="eastAsia" w:ascii="Times New Roman" w:hAnsi="Times New Roman" w:cs="Times New Roman"/>
                <w:b w:val="0"/>
                <w:bCs/>
                <w:color w:val="auto"/>
                <w:sz w:val="24"/>
                <w:szCs w:val="24"/>
                <w:lang w:val="en-US" w:eastAsia="zh-CN"/>
              </w:rPr>
              <w:t>32</w:t>
            </w:r>
            <w:r>
              <w:rPr>
                <w:rFonts w:hint="default" w:ascii="Times New Roman" w:hAnsi="Times New Roman" w:eastAsia="宋体" w:cs="Times New Roman"/>
                <w:b w:val="0"/>
                <w:bCs/>
                <w:color w:val="auto"/>
                <w:sz w:val="24"/>
                <w:szCs w:val="24"/>
                <w:lang w:val="en-US" w:eastAsia="zh-CN"/>
              </w:rPr>
              <w:t>t/a），生活污水排入防渗旱厕中，由附近农户定期清掏，用于施肥。</w:t>
            </w:r>
          </w:p>
          <w:p>
            <w:pPr>
              <w:pStyle w:val="16"/>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生产废水</w:t>
            </w:r>
          </w:p>
          <w:p>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生产用水主要</w:t>
            </w:r>
            <w:r>
              <w:rPr>
                <w:rFonts w:hint="eastAsia" w:ascii="Times New Roman" w:hAnsi="Times New Roman" w:cs="Times New Roman"/>
                <w:b w:val="0"/>
                <w:bCs/>
                <w:color w:val="auto"/>
                <w:sz w:val="24"/>
                <w:szCs w:val="24"/>
                <w:lang w:val="en-US" w:eastAsia="zh-CN"/>
              </w:rPr>
              <w:t>为</w:t>
            </w:r>
            <w:r>
              <w:rPr>
                <w:rFonts w:hint="default" w:ascii="Times New Roman" w:hAnsi="Times New Roman" w:eastAsia="宋体" w:cs="Times New Roman"/>
                <w:b w:val="0"/>
                <w:bCs/>
                <w:color w:val="auto"/>
                <w:sz w:val="24"/>
                <w:szCs w:val="24"/>
                <w:lang w:val="en-US" w:eastAsia="zh-CN"/>
              </w:rPr>
              <w:t>循环冷</w:t>
            </w:r>
            <w:r>
              <w:rPr>
                <w:rFonts w:hint="default" w:ascii="Times New Roman" w:hAnsi="Times New Roman" w:cs="Times New Roman"/>
                <w:b w:val="0"/>
                <w:bCs/>
                <w:color w:val="auto"/>
                <w:sz w:val="24"/>
                <w:szCs w:val="24"/>
                <w:lang w:val="en-US" w:eastAsia="zh-CN"/>
              </w:rPr>
              <w:t>却</w:t>
            </w:r>
            <w:r>
              <w:rPr>
                <w:rFonts w:hint="default" w:ascii="Times New Roman" w:hAnsi="Times New Roman" w:eastAsia="宋体" w:cs="Times New Roman"/>
                <w:b w:val="0"/>
                <w:bCs/>
                <w:color w:val="auto"/>
                <w:sz w:val="24"/>
                <w:szCs w:val="24"/>
                <w:lang w:val="en-US" w:eastAsia="zh-CN"/>
              </w:rPr>
              <w:t>用水，定期补给，不外排。</w:t>
            </w:r>
          </w:p>
          <w:p>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本项目循环水</w:t>
            </w:r>
            <w:r>
              <w:rPr>
                <w:rFonts w:hint="eastAsia" w:ascii="Times New Roman" w:hAnsi="Times New Roman" w:cs="Times New Roman"/>
                <w:b w:val="0"/>
                <w:bCs/>
                <w:color w:val="auto"/>
                <w:sz w:val="24"/>
                <w:szCs w:val="24"/>
                <w:lang w:val="en-US" w:eastAsia="zh-CN"/>
              </w:rPr>
              <w:t>池</w:t>
            </w:r>
            <w:r>
              <w:rPr>
                <w:rFonts w:hint="default" w:ascii="Times New Roman" w:hAnsi="Times New Roman" w:eastAsia="宋体" w:cs="Times New Roman"/>
                <w:b w:val="0"/>
                <w:bCs/>
                <w:color w:val="auto"/>
                <w:sz w:val="24"/>
                <w:szCs w:val="24"/>
                <w:lang w:val="en-US" w:eastAsia="zh-CN"/>
              </w:rPr>
              <w:t>容积为</w:t>
            </w:r>
            <w:r>
              <w:rPr>
                <w:rFonts w:hint="eastAsia" w:ascii="Times New Roman" w:hAnsi="Times New Roman" w:cs="Times New Roman"/>
                <w:b w:val="0"/>
                <w:bCs/>
                <w:color w:val="auto"/>
                <w:sz w:val="24"/>
                <w:szCs w:val="24"/>
                <w:lang w:val="en-US" w:eastAsia="zh-CN"/>
              </w:rPr>
              <w:t>3.6</w:t>
            </w:r>
            <w:r>
              <w:rPr>
                <w:rFonts w:hint="default" w:ascii="Times New Roman" w:hAnsi="Times New Roman" w:eastAsia="宋体" w:cs="Times New Roman"/>
                <w:b w:val="0"/>
                <w:bCs/>
                <w:color w:val="auto"/>
                <w:sz w:val="24"/>
                <w:szCs w:val="24"/>
                <w:lang w:val="en-US" w:eastAsia="zh-CN"/>
              </w:rPr>
              <w:t>t，</w:t>
            </w:r>
            <w:r>
              <w:rPr>
                <w:rFonts w:hint="eastAsia" w:ascii="Times New Roman" w:hAnsi="Times New Roman" w:cs="Times New Roman"/>
                <w:b w:val="0"/>
                <w:bCs/>
                <w:color w:val="auto"/>
                <w:sz w:val="24"/>
                <w:szCs w:val="24"/>
                <w:lang w:val="en-US" w:eastAsia="zh-CN"/>
              </w:rPr>
              <w:t>装水量为3.5t，</w:t>
            </w:r>
            <w:r>
              <w:rPr>
                <w:rFonts w:hint="default" w:ascii="Times New Roman" w:hAnsi="Times New Roman" w:eastAsia="宋体" w:cs="Times New Roman"/>
                <w:b w:val="0"/>
                <w:bCs/>
                <w:color w:val="auto"/>
                <w:sz w:val="24"/>
                <w:szCs w:val="24"/>
                <w:lang w:val="en-US" w:eastAsia="zh-CN"/>
              </w:rPr>
              <w:t>每次补给量为</w:t>
            </w:r>
            <w:r>
              <w:rPr>
                <w:rFonts w:hint="eastAsia"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t，可以使用7天。</w:t>
            </w:r>
            <w:r>
              <w:rPr>
                <w:rFonts w:hint="default" w:ascii="Times New Roman" w:hAnsi="Times New Roman" w:eastAsia="宋体" w:cs="Times New Roman"/>
                <w:color w:val="auto"/>
                <w:sz w:val="24"/>
                <w:szCs w:val="24"/>
                <w:lang w:val="en-US" w:eastAsia="zh-CN"/>
              </w:rPr>
              <w:t>循环水不</w:t>
            </w:r>
            <w:r>
              <w:rPr>
                <w:rFonts w:hint="eastAsia" w:ascii="Times New Roman" w:hAnsi="Times New Roman" w:cs="Times New Roman"/>
                <w:color w:val="auto"/>
                <w:sz w:val="24"/>
                <w:szCs w:val="24"/>
                <w:lang w:val="en-US" w:eastAsia="zh-CN"/>
              </w:rPr>
              <w:t>添加</w:t>
            </w:r>
            <w:r>
              <w:rPr>
                <w:rFonts w:hint="default" w:ascii="Times New Roman" w:hAnsi="Times New Roman" w:eastAsia="宋体" w:cs="Times New Roman"/>
                <w:color w:val="auto"/>
                <w:sz w:val="24"/>
                <w:szCs w:val="24"/>
                <w:lang w:val="en-US" w:eastAsia="zh-CN"/>
              </w:rPr>
              <w:t>药剂，由专业单位每年上门清理一次，</w:t>
            </w:r>
            <w:r>
              <w:rPr>
                <w:rFonts w:hint="eastAsia" w:ascii="Times New Roman" w:hAnsi="Times New Roman" w:cs="Times New Roman"/>
                <w:color w:val="auto"/>
                <w:sz w:val="24"/>
                <w:szCs w:val="24"/>
                <w:lang w:val="en-US" w:eastAsia="zh-CN"/>
              </w:rPr>
              <w:t>冷却</w:t>
            </w:r>
            <w:r>
              <w:rPr>
                <w:rFonts w:hint="default" w:ascii="Times New Roman" w:hAnsi="Times New Roman" w:eastAsia="宋体" w:cs="Times New Roman"/>
                <w:color w:val="auto"/>
                <w:sz w:val="24"/>
                <w:szCs w:val="24"/>
                <w:lang w:val="en-US" w:eastAsia="zh-CN"/>
              </w:rPr>
              <w:t>废水</w:t>
            </w:r>
            <w:r>
              <w:rPr>
                <w:rFonts w:hint="eastAsia" w:ascii="Times New Roman" w:hAnsi="Times New Roman" w:cs="Times New Roman"/>
                <w:color w:val="auto"/>
                <w:sz w:val="24"/>
                <w:szCs w:val="24"/>
                <w:lang w:val="en-US" w:eastAsia="zh-CN"/>
              </w:rPr>
              <w:t>不接触物料，</w:t>
            </w:r>
            <w:r>
              <w:rPr>
                <w:rFonts w:hint="default" w:ascii="Times New Roman" w:hAnsi="Times New Roman" w:eastAsia="宋体" w:cs="Times New Roman"/>
                <w:color w:val="auto"/>
                <w:sz w:val="24"/>
                <w:szCs w:val="24"/>
                <w:lang w:val="en-US" w:eastAsia="zh-CN"/>
              </w:rPr>
              <w:t>属于清净水，每年冬季停产的时</w:t>
            </w:r>
            <w:r>
              <w:rPr>
                <w:rFonts w:hint="eastAsia" w:ascii="Times New Roman" w:hAnsi="Times New Roman" w:cs="Times New Roman"/>
                <w:color w:val="auto"/>
                <w:sz w:val="24"/>
                <w:szCs w:val="24"/>
                <w:lang w:val="en-US" w:eastAsia="zh-CN"/>
              </w:rPr>
              <w:t>用于厂区扫除</w:t>
            </w:r>
            <w:r>
              <w:rPr>
                <w:rFonts w:hint="default" w:cs="Times New Roman"/>
                <w:color w:val="auto"/>
                <w:sz w:val="24"/>
                <w:szCs w:val="24"/>
                <w:lang w:eastAsia="zh-CN"/>
              </w:rPr>
              <w:t>的洒水降尘</w:t>
            </w:r>
            <w:r>
              <w:rPr>
                <w:rFonts w:hint="default" w:ascii="Times New Roman" w:hAnsi="Times New Roman" w:eastAsia="宋体" w:cs="Times New Roman"/>
                <w:color w:val="auto"/>
                <w:sz w:val="24"/>
                <w:szCs w:val="24"/>
                <w:lang w:val="en-US" w:eastAsia="zh-CN"/>
              </w:rPr>
              <w:t>，再生产时重新加满。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二、</w:t>
            </w:r>
            <w:r>
              <w:rPr>
                <w:rFonts w:hint="default" w:ascii="Times New Roman" w:hAnsi="Times New Roman" w:eastAsia="宋体" w:cs="Times New Roman"/>
                <w:b/>
                <w:bCs w:val="0"/>
                <w:color w:val="auto"/>
                <w:sz w:val="24"/>
                <w:szCs w:val="24"/>
              </w:rPr>
              <w:t>废气</w:t>
            </w:r>
          </w:p>
          <w:p>
            <w:pPr>
              <w:keepNext w:val="0"/>
              <w:keepLines w:val="0"/>
              <w:numPr>
                <w:ilvl w:val="0"/>
                <w:numId w:val="0"/>
              </w:numPr>
              <w:suppressLineNumbers w:val="0"/>
              <w:adjustRightInd w:val="0"/>
              <w:snapToGrid w:val="0"/>
              <w:spacing w:before="0" w:beforeAutospacing="0" w:after="0" w:afterAutospacing="0" w:line="360" w:lineRule="auto"/>
              <w:ind w:left="400" w:leftChars="0" w:right="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污染源</w:t>
            </w:r>
            <w:r>
              <w:rPr>
                <w:rFonts w:hint="default" w:ascii="Times New Roman" w:hAnsi="Times New Roman" w:eastAsia="宋体" w:cs="Times New Roman"/>
                <w:b/>
                <w:bCs w:val="0"/>
                <w:color w:val="auto"/>
                <w:sz w:val="24"/>
                <w:szCs w:val="24"/>
                <w:lang w:val="en-US" w:eastAsia="zh-CN"/>
              </w:rPr>
              <w:t>分析</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本项目生产塑料筐，原材料为非再生成品聚丙烯塑料颗粒，生产设备为一体化注塑机</w:t>
            </w:r>
            <w:r>
              <w:rPr>
                <w:rFonts w:hint="default" w:cs="Times New Roman"/>
                <w:b w:val="0"/>
                <w:bCs/>
                <w:color w:val="auto"/>
                <w:sz w:val="24"/>
                <w:szCs w:val="24"/>
                <w:lang w:eastAsia="zh-CN"/>
              </w:rPr>
              <w:t>。</w:t>
            </w:r>
          </w:p>
          <w:p>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p>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投料：项目单位使用原料为成品非再生聚丙烯塑料颗粒，新购入的塑料颗粒用编制袋包装，不使用其他辅料，投料工序使用投料机，为密闭装置。因此，本项目投料工序产生颗粒物</w:t>
            </w:r>
            <w:r>
              <w:rPr>
                <w:rFonts w:hint="default" w:cs="Times New Roman"/>
                <w:color w:val="auto"/>
                <w:sz w:val="24"/>
                <w:szCs w:val="24"/>
                <w:lang w:eastAsia="zh-CN"/>
              </w:rPr>
              <w:t>极少，本环评不做定量分析仅做定性分析</w:t>
            </w:r>
            <w:r>
              <w:rPr>
                <w:rFonts w:hint="default" w:ascii="Times New Roman" w:hAnsi="Times New Roman" w:eastAsia="宋体" w:cs="Times New Roman"/>
                <w:color w:val="auto"/>
                <w:sz w:val="24"/>
                <w:szCs w:val="24"/>
                <w:lang w:val="en-US" w:eastAsia="zh-CN"/>
              </w:rPr>
              <w:t>。采取密闭容器操作、产生的无组织粉尘车间内无组织排放。</w:t>
            </w:r>
          </w:p>
          <w:p>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破碎：</w:t>
            </w:r>
            <w:r>
              <w:rPr>
                <w:rFonts w:hint="default" w:ascii="Times New Roman" w:hAnsi="Times New Roman" w:cs="Times New Roman"/>
                <w:color w:val="auto"/>
                <w:sz w:val="24"/>
                <w:szCs w:val="24"/>
                <w:lang w:val="en-US" w:eastAsia="zh-CN"/>
              </w:rPr>
              <w:t>生产过程中产生的</w:t>
            </w:r>
            <w:r>
              <w:rPr>
                <w:rFonts w:hint="default" w:ascii="Times New Roman" w:hAnsi="Times New Roman" w:eastAsia="宋体" w:cs="Times New Roman"/>
                <w:color w:val="auto"/>
                <w:sz w:val="24"/>
                <w:szCs w:val="24"/>
                <w:lang w:val="en-US" w:eastAsia="zh-CN"/>
              </w:rPr>
              <w:t>残次品</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破碎时会产生少量粉尘颗粒物，鉴于残次品产生量少，碎料均可回用于生产中，因此粉尘的产生量很少，本环评只作定性分析，不做定量分析。采取密闭容器操作、产生的无组织粉尘车间内无组织排放。</w:t>
            </w:r>
          </w:p>
          <w:p>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类比《咸阳人杰地灵水果包装材料有限公司塑料筐生产及发泡网生产项目竣工环境保护验收监测报告》，注塑机的热熔管温度在220℃左右，聚丙烯分解温度为300-370℃以上，因此本项目不会产生分解废气。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综上，本项目生产过程粉尘颗粒物产生量很少，采取密闭容器操作及车间内生产的措施，</w:t>
            </w:r>
            <w:r>
              <w:rPr>
                <w:rFonts w:hint="default" w:ascii="Times New Roman" w:hAnsi="Times New Roman" w:cs="Times New Roman"/>
                <w:color w:val="auto"/>
                <w:sz w:val="24"/>
                <w:szCs w:val="24"/>
                <w:lang w:val="en-US" w:eastAsia="zh-CN"/>
              </w:rPr>
              <w:t>产生的</w:t>
            </w:r>
            <w:r>
              <w:rPr>
                <w:rFonts w:hint="default" w:ascii="Times New Roman" w:hAnsi="Times New Roman" w:eastAsia="宋体" w:cs="Times New Roman"/>
                <w:color w:val="auto"/>
                <w:sz w:val="24"/>
                <w:szCs w:val="24"/>
                <w:lang w:val="en-US" w:eastAsia="zh-CN"/>
              </w:rPr>
              <w:t>粉尘颗粒物可以得到有效治理。</w:t>
            </w:r>
          </w:p>
          <w:p>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VOCs（以非甲烷总烃计）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项目生产</w:t>
            </w:r>
            <w:r>
              <w:rPr>
                <w:rFonts w:hint="default" w:ascii="Times New Roman" w:hAnsi="Times New Roman" w:cs="Times New Roman"/>
                <w:color w:val="auto"/>
                <w:sz w:val="24"/>
                <w:szCs w:val="24"/>
                <w:lang w:val="en-US" w:eastAsia="zh-CN"/>
              </w:rPr>
              <w:t>过程中，</w:t>
            </w:r>
            <w:r>
              <w:rPr>
                <w:rFonts w:hint="default" w:ascii="Times New Roman" w:hAnsi="Times New Roman" w:eastAsia="宋体" w:cs="Times New Roman"/>
                <w:color w:val="auto"/>
                <w:sz w:val="24"/>
                <w:szCs w:val="24"/>
                <w:lang w:val="en-US" w:eastAsia="zh-CN"/>
              </w:rPr>
              <w:t>在成品出口处产生少量的VOCs废气</w:t>
            </w:r>
            <w:r>
              <w:rPr>
                <w:rFonts w:hint="default" w:ascii="Times New Roman" w:hAnsi="Times New Roman" w:eastAsia="宋体" w:cs="Times New Roman"/>
                <w:b w:val="0"/>
                <w:bCs/>
                <w:color w:val="auto"/>
                <w:sz w:val="24"/>
                <w:szCs w:val="24"/>
                <w:lang w:val="en-US" w:eastAsia="zh-CN"/>
              </w:rPr>
              <w:t>。塑料颗粒投入注塑机内通过热熔管融化成液态，注入模具后冷</w:t>
            </w:r>
            <w:r>
              <w:rPr>
                <w:rFonts w:hint="default" w:ascii="Times New Roman" w:hAnsi="Times New Roman" w:cs="Times New Roman"/>
                <w:b w:val="0"/>
                <w:bCs/>
                <w:color w:val="auto"/>
                <w:sz w:val="24"/>
                <w:szCs w:val="24"/>
                <w:lang w:val="en-US" w:eastAsia="zh-CN"/>
              </w:rPr>
              <w:t>却</w:t>
            </w:r>
            <w:r>
              <w:rPr>
                <w:rFonts w:hint="default" w:ascii="Times New Roman" w:hAnsi="Times New Roman" w:eastAsia="宋体" w:cs="Times New Roman"/>
                <w:b w:val="0"/>
                <w:bCs/>
                <w:color w:val="auto"/>
                <w:sz w:val="24"/>
                <w:szCs w:val="24"/>
                <w:lang w:val="en-US" w:eastAsia="zh-CN"/>
              </w:rPr>
              <w:t>成型，在成品出口处有少量挥发性有机物体排出，项目单位在每台注塑机成品出</w:t>
            </w:r>
            <w:r>
              <w:rPr>
                <w:rFonts w:hint="default" w:ascii="Times New Roman" w:hAnsi="Times New Roman" w:cs="Times New Roman"/>
                <w:color w:val="auto"/>
                <w:sz w:val="24"/>
                <w:szCs w:val="24"/>
                <w:lang w:val="en-US" w:eastAsia="zh-CN"/>
              </w:rPr>
              <w:t>口上</w:t>
            </w:r>
            <w:r>
              <w:rPr>
                <w:rFonts w:hint="default" w:ascii="Times New Roman" w:hAnsi="Times New Roman" w:cs="Times New Roman"/>
                <w:sz w:val="24"/>
                <w:szCs w:val="24"/>
                <w:lang w:val="en-US" w:eastAsia="zh-CN"/>
              </w:rPr>
              <w:t>方设置集气罩（1m×1m），收集到活性炭箱吸附处理后，通过15m高排气筒排放，该处理措施属</w:t>
            </w:r>
            <w:r>
              <w:rPr>
                <w:rFonts w:hint="default" w:ascii="Times New Roman" w:hAnsi="Times New Roman" w:cs="Times New Roman"/>
                <w:color w:val="auto"/>
                <w:sz w:val="24"/>
                <w:szCs w:val="24"/>
                <w:lang w:val="en-US" w:eastAsia="zh-CN"/>
              </w:rPr>
              <w:t>于《排污许可证申请与技术核发技术规范 橡胶和塑料制品工业》（HJ1122-2020）中的可行技术。VOCs的无组织排放，</w:t>
            </w:r>
            <w:r>
              <w:rPr>
                <w:rFonts w:hint="default" w:ascii="Times New Roman" w:hAnsi="Times New Roman" w:eastAsia="宋体" w:cs="Times New Roman"/>
                <w:smallCaps w:val="0"/>
                <w:color w:val="auto"/>
                <w:kern w:val="2"/>
                <w:sz w:val="24"/>
                <w:szCs w:val="24"/>
                <w:highlight w:val="none"/>
                <w:vertAlign w:val="baseline"/>
                <w:lang w:val="en-US" w:eastAsia="zh-CN" w:bidi="ar-SA"/>
              </w:rPr>
              <w:t>采取生产车间门窗封闭降低无组织废气对周围环境的污染</w:t>
            </w:r>
            <w:r>
              <w:rPr>
                <w:rFonts w:hint="default" w:ascii="Times New Roman" w:hAnsi="Times New Roman" w:eastAsia="宋体" w:cs="Times New Roman"/>
                <w:b w:val="0"/>
                <w:bCs/>
                <w:color w:val="auto"/>
                <w:sz w:val="24"/>
                <w:szCs w:val="24"/>
                <w:lang w:val="en-US" w:eastAsia="zh-CN"/>
              </w:rPr>
              <w:t>。</w:t>
            </w:r>
          </w:p>
          <w:p>
            <w:pPr>
              <w:keepNext w:val="0"/>
              <w:keepLines w:val="0"/>
              <w:numPr>
                <w:ilvl w:val="0"/>
                <w:numId w:val="0"/>
              </w:numPr>
              <w:suppressLineNumbers w:val="0"/>
              <w:adjustRightInd w:val="0"/>
              <w:snapToGrid w:val="0"/>
              <w:spacing w:before="0" w:beforeAutospacing="0" w:after="0" w:afterAutospacing="0" w:line="360" w:lineRule="auto"/>
              <w:ind w:left="400" w:leftChars="0" w:right="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2、污染源强</w:t>
            </w:r>
            <w:r>
              <w:rPr>
                <w:rFonts w:hint="default" w:ascii="Times New Roman" w:hAnsi="Times New Roman" w:eastAsia="宋体" w:cs="Times New Roman"/>
                <w:b/>
                <w:bCs w:val="0"/>
                <w:color w:val="auto"/>
                <w:sz w:val="24"/>
                <w:szCs w:val="24"/>
              </w:rPr>
              <w:t>核算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本项目</w:t>
            </w:r>
            <w:r>
              <w:rPr>
                <w:rFonts w:hint="default" w:ascii="Times New Roman" w:hAnsi="Times New Roman" w:eastAsia="宋体" w:cs="Times New Roman"/>
                <w:bCs/>
                <w:color w:val="auto"/>
                <w:sz w:val="24"/>
                <w:szCs w:val="24"/>
                <w:lang w:val="en-US" w:eastAsia="zh-CN"/>
              </w:rPr>
              <w:t>塑料颗粒的用量为</w:t>
            </w:r>
            <w:r>
              <w:rPr>
                <w:rFonts w:hint="default" w:cs="Times New Roman"/>
                <w:bCs/>
                <w:color w:val="auto"/>
                <w:sz w:val="24"/>
                <w:szCs w:val="24"/>
                <w:lang w:eastAsia="zh-CN"/>
              </w:rPr>
              <w:t>2</w:t>
            </w:r>
            <w:r>
              <w:rPr>
                <w:rFonts w:hint="default" w:ascii="Times New Roman" w:hAnsi="Times New Roman" w:eastAsia="宋体" w:cs="Times New Roman"/>
                <w:bCs/>
                <w:color w:val="auto"/>
                <w:sz w:val="24"/>
                <w:szCs w:val="24"/>
                <w:lang w:val="en-US" w:eastAsia="zh-CN"/>
              </w:rPr>
              <w:t>00t/a，</w:t>
            </w:r>
            <w:r>
              <w:rPr>
                <w:rFonts w:hint="default" w:ascii="Times New Roman" w:hAnsi="Times New Roman" w:eastAsia="宋体" w:cs="Times New Roman"/>
                <w:color w:val="auto"/>
                <w:kern w:val="0"/>
                <w:sz w:val="24"/>
                <w:szCs w:val="24"/>
                <w:lang w:val="en-US" w:eastAsia="zh-CN" w:bidi="ar-SA"/>
              </w:rPr>
              <w:t>本项目生产</w:t>
            </w:r>
            <w:r>
              <w:rPr>
                <w:rFonts w:hint="default" w:ascii="Times New Roman" w:hAnsi="Times New Roman" w:eastAsia="宋体" w:cs="Times New Roman"/>
                <w:bCs/>
                <w:color w:val="auto"/>
                <w:sz w:val="24"/>
                <w:szCs w:val="24"/>
                <w:lang w:val="en-US" w:eastAsia="zh-CN"/>
              </w:rPr>
              <w:t>只使用塑料颗粒，没有辅料，原料在注塑机中热熔-冷</w:t>
            </w:r>
            <w:r>
              <w:rPr>
                <w:rFonts w:hint="default" w:ascii="Times New Roman" w:hAnsi="Times New Roman" w:cs="Times New Roman"/>
                <w:bCs/>
                <w:color w:val="auto"/>
                <w:sz w:val="24"/>
                <w:szCs w:val="24"/>
                <w:lang w:val="en-US" w:eastAsia="zh-CN"/>
              </w:rPr>
              <w:t>却</w:t>
            </w:r>
            <w:r>
              <w:rPr>
                <w:rFonts w:hint="default" w:ascii="Times New Roman" w:hAnsi="Times New Roman" w:eastAsia="宋体" w:cs="Times New Roman"/>
                <w:bCs/>
                <w:color w:val="auto"/>
                <w:sz w:val="24"/>
                <w:szCs w:val="24"/>
                <w:lang w:val="en-US" w:eastAsia="zh-CN"/>
              </w:rPr>
              <w:t>-成型，塑料颗粒的用量为</w:t>
            </w:r>
            <w:r>
              <w:rPr>
                <w:rFonts w:hint="default" w:cs="Times New Roman"/>
                <w:bCs/>
                <w:color w:val="auto"/>
                <w:sz w:val="24"/>
                <w:szCs w:val="24"/>
                <w:lang w:eastAsia="zh-CN"/>
              </w:rPr>
              <w:t>2</w:t>
            </w:r>
            <w:r>
              <w:rPr>
                <w:rFonts w:hint="default" w:ascii="Times New Roman" w:hAnsi="Times New Roman" w:eastAsia="宋体" w:cs="Times New Roman"/>
                <w:bCs/>
                <w:color w:val="auto"/>
                <w:sz w:val="24"/>
                <w:szCs w:val="24"/>
                <w:lang w:val="en-US" w:eastAsia="zh-CN"/>
              </w:rPr>
              <w:t>00t/a，生产中产生的废品可以粉碎再利用，所以本项目基本无原料损耗，产品的产量可按照原料使用量计，即产品的年产量为</w:t>
            </w:r>
            <w:r>
              <w:rPr>
                <w:rFonts w:hint="default" w:cs="Times New Roman"/>
                <w:bCs/>
                <w:color w:val="auto"/>
                <w:sz w:val="24"/>
                <w:szCs w:val="24"/>
                <w:lang w:eastAsia="zh-CN"/>
              </w:rPr>
              <w:t>2</w:t>
            </w:r>
            <w:r>
              <w:rPr>
                <w:rFonts w:hint="default" w:ascii="Times New Roman" w:hAnsi="Times New Roman" w:eastAsia="宋体" w:cs="Times New Roman"/>
                <w:bCs/>
                <w:color w:val="auto"/>
                <w:sz w:val="24"/>
                <w:szCs w:val="24"/>
                <w:lang w:val="en-US" w:eastAsia="zh-CN"/>
              </w:rPr>
              <w:t>00t/a。</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lang w:val="en-US" w:eastAsia="zh-CN"/>
              </w:rPr>
              <w:t>根据《排放源统计调查产排污核算方法和系数手册（环境部公告2021年第24 号）</w:t>
            </w:r>
            <w:r>
              <w:rPr>
                <w:rFonts w:hint="default" w:ascii="Times New Roman" w:hAnsi="Times New Roman" w:eastAsia="宋体" w:cs="Times New Roman"/>
                <w:bCs/>
                <w:color w:val="auto"/>
                <w:sz w:val="24"/>
              </w:rPr>
              <w:t>》292塑料制品行业系数手册</w:t>
            </w:r>
            <w:r>
              <w:rPr>
                <w:rFonts w:hint="eastAsia" w:ascii="Times New Roman" w:hAnsi="Times New Roman" w:eastAsia="宋体" w:cs="Times New Roman"/>
                <w:bCs/>
                <w:color w:val="auto"/>
                <w:sz w:val="24"/>
                <w:lang w:eastAsia="zh-CN"/>
              </w:rPr>
              <w:t>中</w:t>
            </w:r>
            <w:r>
              <w:rPr>
                <w:rFonts w:hint="eastAsia" w:ascii="Times New Roman" w:hAnsi="Times New Roman" w:eastAsia="宋体" w:cs="Times New Roman"/>
                <w:bCs/>
                <w:color w:val="auto"/>
                <w:sz w:val="24"/>
                <w:lang w:val="en-US" w:eastAsia="zh-CN"/>
              </w:rPr>
              <w:t>2926</w:t>
            </w:r>
            <w:r>
              <w:rPr>
                <w:rFonts w:hint="eastAsia" w:ascii="Times New Roman" w:hAnsi="Times New Roman" w:eastAsia="宋体" w:cs="Times New Roman"/>
                <w:bCs/>
                <w:color w:val="auto"/>
                <w:sz w:val="24"/>
                <w:lang w:eastAsia="zh-CN"/>
              </w:rPr>
              <w:t>塑料包装箱及容器制造行业，本项目非甲烷总烃的产生系数为</w:t>
            </w:r>
            <w:r>
              <w:rPr>
                <w:rFonts w:hint="eastAsia" w:ascii="Times New Roman" w:hAnsi="Times New Roman" w:eastAsia="宋体" w:cs="Times New Roman"/>
                <w:bCs/>
                <w:color w:val="auto"/>
                <w:sz w:val="24"/>
                <w:lang w:val="en-US" w:eastAsia="zh-CN"/>
              </w:rPr>
              <w:t>2.70千克/吨-产品</w:t>
            </w:r>
            <w:r>
              <w:rPr>
                <w:rFonts w:hint="default" w:ascii="Times New Roman" w:hAnsi="Times New Roman" w:eastAsia="宋体" w:cs="Times New Roman"/>
                <w:bCs/>
                <w:color w:val="auto"/>
                <w:sz w:val="24"/>
                <w:szCs w:val="24"/>
                <w:lang w:val="en-US" w:eastAsia="zh-CN"/>
              </w:rPr>
              <w:t>，</w:t>
            </w:r>
            <w:r>
              <w:rPr>
                <w:rFonts w:hint="eastAsia" w:eastAsia="宋体"/>
                <w:b w:val="0"/>
                <w:bCs/>
                <w:color w:val="auto"/>
                <w:sz w:val="24"/>
                <w:lang w:val="en-US" w:eastAsia="zh-CN"/>
              </w:rPr>
              <w:t>工业废气量1.2×10</w:t>
            </w:r>
            <w:r>
              <w:rPr>
                <w:rFonts w:hint="eastAsia" w:eastAsia="宋体"/>
                <w:b w:val="0"/>
                <w:bCs/>
                <w:color w:val="auto"/>
                <w:sz w:val="24"/>
                <w:vertAlign w:val="superscript"/>
                <w:lang w:val="en-US" w:eastAsia="zh-CN"/>
              </w:rPr>
              <w:t>5</w:t>
            </w:r>
            <w:r>
              <w:rPr>
                <w:rFonts w:hint="eastAsia" w:eastAsia="宋体"/>
                <w:b w:val="0"/>
                <w:bCs/>
                <w:color w:val="auto"/>
                <w:sz w:val="24"/>
                <w:vertAlign w:val="baseline"/>
                <w:lang w:val="en-US" w:eastAsia="zh-CN"/>
              </w:rPr>
              <w:t>Nm</w:t>
            </w:r>
            <w:r>
              <w:rPr>
                <w:rFonts w:hint="eastAsia" w:eastAsia="宋体"/>
                <w:b w:val="0"/>
                <w:bCs/>
                <w:color w:val="auto"/>
                <w:sz w:val="24"/>
                <w:vertAlign w:val="superscript"/>
                <w:lang w:val="en-US" w:eastAsia="zh-CN"/>
              </w:rPr>
              <w:t>3</w:t>
            </w:r>
            <w:r>
              <w:rPr>
                <w:rFonts w:hint="eastAsia" w:eastAsia="宋体"/>
                <w:b w:val="0"/>
                <w:bCs/>
                <w:color w:val="auto"/>
                <w:sz w:val="24"/>
                <w:vertAlign w:val="baseline"/>
                <w:lang w:val="en-US" w:eastAsia="zh-CN"/>
              </w:rPr>
              <w:t>/t-产品。</w:t>
            </w:r>
            <w:r>
              <w:rPr>
                <w:rFonts w:hint="default" w:ascii="Times New Roman" w:hAnsi="Times New Roman" w:eastAsia="宋体" w:cs="Times New Roman"/>
                <w:bCs/>
                <w:color w:val="auto"/>
                <w:sz w:val="24"/>
                <w:szCs w:val="24"/>
                <w:lang w:val="zh-CN" w:eastAsia="zh-CN"/>
              </w:rPr>
              <w:t>则</w:t>
            </w:r>
            <w:r>
              <w:rPr>
                <w:rFonts w:hint="default" w:ascii="Times New Roman" w:hAnsi="Times New Roman" w:eastAsia="宋体" w:cs="Times New Roman"/>
                <w:bCs/>
                <w:color w:val="auto"/>
                <w:sz w:val="24"/>
                <w:szCs w:val="24"/>
                <w:lang w:val="en-US" w:eastAsia="zh-CN"/>
              </w:rPr>
              <w:t>本</w:t>
            </w:r>
            <w:r>
              <w:rPr>
                <w:rFonts w:hint="default" w:ascii="Times New Roman" w:hAnsi="Times New Roman" w:eastAsia="宋体" w:cs="Times New Roman"/>
                <w:bCs/>
                <w:color w:val="auto"/>
                <w:sz w:val="24"/>
                <w:szCs w:val="24"/>
                <w:lang w:val="zh-CN" w:eastAsia="zh-CN"/>
              </w:rPr>
              <w:t>项目</w:t>
            </w:r>
            <w:r>
              <w:rPr>
                <w:rFonts w:hint="default" w:ascii="Times New Roman" w:hAnsi="Times New Roman" w:eastAsia="宋体" w:cs="Times New Roman"/>
                <w:bCs/>
                <w:color w:val="auto"/>
                <w:sz w:val="24"/>
                <w:szCs w:val="24"/>
                <w:lang w:val="en-US" w:eastAsia="zh-CN"/>
              </w:rPr>
              <w:t>VOCs</w:t>
            </w:r>
            <w:r>
              <w:rPr>
                <w:rFonts w:hint="default" w:ascii="Times New Roman" w:hAnsi="Times New Roman" w:eastAsia="宋体" w:cs="Times New Roman"/>
                <w:bCs/>
                <w:color w:val="auto"/>
                <w:sz w:val="24"/>
                <w:szCs w:val="24"/>
                <w:lang w:val="zh-CN" w:eastAsia="zh-CN"/>
              </w:rPr>
              <w:t>产生量为</w:t>
            </w:r>
            <w:r>
              <w:rPr>
                <w:rFonts w:hint="default" w:cs="Times New Roman"/>
                <w:bCs/>
                <w:color w:val="auto"/>
                <w:sz w:val="24"/>
                <w:szCs w:val="24"/>
                <w:lang w:eastAsia="zh-CN"/>
              </w:rPr>
              <w:t>0.54</w:t>
            </w:r>
            <w:r>
              <w:rPr>
                <w:rFonts w:hint="default" w:ascii="Times New Roman" w:hAnsi="Times New Roman" w:eastAsia="宋体" w:cs="Times New Roman"/>
                <w:bCs/>
                <w:color w:val="auto"/>
                <w:sz w:val="24"/>
                <w:szCs w:val="24"/>
                <w:lang w:val="zh-CN" w:eastAsia="zh-CN"/>
              </w:rPr>
              <w:t>t/a</w:t>
            </w:r>
            <w:r>
              <w:rPr>
                <w:rFonts w:hint="default" w:ascii="Times New Roman" w:hAnsi="Times New Roman" w:eastAsia="宋体" w:cs="Times New Roman"/>
                <w:color w:val="auto"/>
                <w:sz w:val="24"/>
                <w:szCs w:val="24"/>
                <w:lang w:val="en-US" w:eastAsia="zh-CN"/>
              </w:rPr>
              <w:t>。本项目采用“集气罩收集+活性炭吸附+15m高排气筒”的处理措施，集气罩收效率为80%，</w:t>
            </w:r>
            <w:r>
              <w:rPr>
                <w:rFonts w:hint="default" w:ascii="Times New Roman" w:hAnsi="Times New Roman" w:eastAsia="宋体" w:cs="Times New Roman"/>
                <w:bCs/>
                <w:color w:val="auto"/>
                <w:sz w:val="24"/>
                <w:szCs w:val="24"/>
                <w:lang w:val="en-US" w:eastAsia="zh-CN"/>
              </w:rPr>
              <w:t>末端治理技术为活性炭吸附</w:t>
            </w:r>
            <w:r>
              <w:rPr>
                <w:rFonts w:hint="default" w:ascii="Times New Roman" w:hAnsi="Times New Roman"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治理技术效率为70%</w:t>
            </w:r>
            <w:r>
              <w:rPr>
                <w:rFonts w:hint="default" w:ascii="Times New Roman" w:hAnsi="Times New Roman"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sz w:val="24"/>
                <w:szCs w:val="24"/>
                <w:lang w:val="en-US" w:eastAsia="zh-CN"/>
              </w:rPr>
              <w:t>本项目废气源强核算见表4-1。</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z w:val="24"/>
                <w:szCs w:val="24"/>
              </w:rPr>
            </w:pP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val="en-US" w:eastAsia="zh-CN"/>
              </w:rPr>
              <w:t xml:space="preserve">-1 </w:t>
            </w:r>
            <w:r>
              <w:rPr>
                <w:rFonts w:hint="default" w:ascii="Times New Roman" w:hAnsi="Times New Roman" w:eastAsia="宋体" w:cs="Times New Roman"/>
                <w:b/>
                <w:bCs w:val="0"/>
                <w:color w:val="auto"/>
                <w:sz w:val="24"/>
                <w:szCs w:val="24"/>
                <w:highlight w:val="none"/>
                <w:lang w:val="en-US" w:eastAsia="zh-CN"/>
              </w:rPr>
              <w:t>本项目废气</w:t>
            </w:r>
            <w:r>
              <w:rPr>
                <w:rFonts w:hint="default" w:ascii="Times New Roman" w:hAnsi="Times New Roman" w:eastAsia="宋体" w:cs="Times New Roman"/>
                <w:b/>
                <w:bCs w:val="0"/>
                <w:color w:val="auto"/>
                <w:sz w:val="24"/>
                <w:szCs w:val="24"/>
                <w:highlight w:val="none"/>
              </w:rPr>
              <w:t>污染源源强核算结果及相关参数一览表</w:t>
            </w:r>
          </w:p>
          <w:tbl>
            <w:tblPr>
              <w:tblStyle w:val="22"/>
              <w:tblW w:w="80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392"/>
              <w:gridCol w:w="392"/>
              <w:gridCol w:w="581"/>
              <w:gridCol w:w="392"/>
              <w:gridCol w:w="581"/>
              <w:gridCol w:w="768"/>
              <w:gridCol w:w="584"/>
              <w:gridCol w:w="392"/>
              <w:gridCol w:w="676"/>
              <w:gridCol w:w="392"/>
              <w:gridCol w:w="581"/>
              <w:gridCol w:w="676"/>
              <w:gridCol w:w="679"/>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工序</w:t>
                  </w:r>
                </w:p>
              </w:tc>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装置</w:t>
                  </w:r>
                </w:p>
              </w:tc>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污</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染</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源</w:t>
                  </w:r>
                </w:p>
              </w:tc>
              <w:tc>
                <w:tcPr>
                  <w:tcW w:w="581"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污染物</w:t>
                  </w:r>
                </w:p>
              </w:tc>
              <w:tc>
                <w:tcPr>
                  <w:tcW w:w="2325" w:type="dxa"/>
                  <w:gridSpan w:val="4"/>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污染物产生</w:t>
                  </w:r>
                </w:p>
              </w:tc>
              <w:tc>
                <w:tcPr>
                  <w:tcW w:w="1068" w:type="dxa"/>
                  <w:gridSpan w:val="2"/>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治理措施</w:t>
                  </w:r>
                </w:p>
              </w:tc>
              <w:tc>
                <w:tcPr>
                  <w:tcW w:w="2328" w:type="dxa"/>
                  <w:gridSpan w:val="4"/>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污染物排放</w:t>
                  </w:r>
                </w:p>
              </w:tc>
              <w:tc>
                <w:tcPr>
                  <w:tcW w:w="584"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排放</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jc w:val="center"/>
              </w:trPr>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581"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392"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核算</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方法</w:t>
                  </w: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废气产生量</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m</w:t>
                  </w:r>
                  <w:r>
                    <w:rPr>
                      <w:rFonts w:hint="default" w:ascii="Times New Roman" w:hAnsi="Times New Roman" w:eastAsia="仿宋" w:cs="Times New Roman"/>
                      <w:color w:val="auto"/>
                      <w:sz w:val="20"/>
                      <w:szCs w:val="20"/>
                      <w:highlight w:val="none"/>
                      <w:vertAlign w:val="superscript"/>
                    </w:rPr>
                    <w:t>3</w:t>
                  </w:r>
                </w:p>
              </w:tc>
              <w:tc>
                <w:tcPr>
                  <w:tcW w:w="768"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产生</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浓度mg/m</w:t>
                  </w:r>
                  <w:r>
                    <w:rPr>
                      <w:rFonts w:hint="default" w:ascii="Times New Roman" w:hAnsi="Times New Roman" w:eastAsia="仿宋" w:cs="Times New Roman"/>
                      <w:color w:val="auto"/>
                      <w:sz w:val="20"/>
                      <w:szCs w:val="20"/>
                      <w:highlight w:val="none"/>
                      <w:vertAlign w:val="superscript"/>
                    </w:rPr>
                    <w:t>3</w:t>
                  </w:r>
                </w:p>
              </w:tc>
              <w:tc>
                <w:tcPr>
                  <w:tcW w:w="584"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产生量</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eastAsia="zh-CN"/>
                    </w:rPr>
                  </w:pPr>
                  <w:r>
                    <w:rPr>
                      <w:rFonts w:hint="default" w:ascii="Times New Roman" w:hAnsi="Times New Roman" w:eastAsia="仿宋" w:cs="Times New Roman"/>
                      <w:color w:val="auto"/>
                      <w:sz w:val="20"/>
                      <w:szCs w:val="20"/>
                      <w:highlight w:val="none"/>
                      <w:lang w:val="en-US" w:eastAsia="zh-CN"/>
                    </w:rPr>
                    <w:t>t/a</w:t>
                  </w:r>
                </w:p>
              </w:tc>
              <w:tc>
                <w:tcPr>
                  <w:tcW w:w="392"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工艺</w:t>
                  </w:r>
                </w:p>
              </w:tc>
              <w:tc>
                <w:tcPr>
                  <w:tcW w:w="676"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效率（%）</w:t>
                  </w:r>
                </w:p>
              </w:tc>
              <w:tc>
                <w:tcPr>
                  <w:tcW w:w="392"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核算</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方法</w:t>
                  </w: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废气排量</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m</w:t>
                  </w:r>
                  <w:r>
                    <w:rPr>
                      <w:rFonts w:hint="default" w:ascii="Times New Roman" w:hAnsi="Times New Roman" w:eastAsia="仿宋" w:cs="Times New Roman"/>
                      <w:color w:val="auto"/>
                      <w:sz w:val="20"/>
                      <w:szCs w:val="20"/>
                      <w:highlight w:val="none"/>
                      <w:vertAlign w:val="superscript"/>
                    </w:rPr>
                    <w:t>3</w:t>
                  </w:r>
                  <w:r>
                    <w:rPr>
                      <w:rFonts w:hint="default" w:ascii="Times New Roman" w:hAnsi="Times New Roman" w:eastAsia="仿宋" w:cs="Times New Roman"/>
                      <w:color w:val="auto"/>
                      <w:sz w:val="20"/>
                      <w:szCs w:val="20"/>
                      <w:highlight w:val="none"/>
                    </w:rPr>
                    <w:t>/h</w:t>
                  </w:r>
                </w:p>
              </w:tc>
              <w:tc>
                <w:tcPr>
                  <w:tcW w:w="676"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排放</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浓度</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mg/m</w:t>
                  </w:r>
                  <w:r>
                    <w:rPr>
                      <w:rFonts w:hint="default" w:ascii="Times New Roman" w:hAnsi="Times New Roman" w:eastAsia="仿宋" w:cs="Times New Roman"/>
                      <w:color w:val="auto"/>
                      <w:sz w:val="20"/>
                      <w:szCs w:val="20"/>
                      <w:highlight w:val="none"/>
                      <w:vertAlign w:val="superscript"/>
                    </w:rPr>
                    <w:t>3</w:t>
                  </w:r>
                </w:p>
              </w:tc>
              <w:tc>
                <w:tcPr>
                  <w:tcW w:w="679"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排放量</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eastAsia="zh-CN"/>
                    </w:rPr>
                  </w:pPr>
                  <w:r>
                    <w:rPr>
                      <w:rFonts w:hint="default" w:ascii="Times New Roman" w:hAnsi="Times New Roman" w:eastAsia="仿宋" w:cs="Times New Roman"/>
                      <w:color w:val="auto"/>
                      <w:sz w:val="20"/>
                      <w:szCs w:val="20"/>
                      <w:highlight w:val="none"/>
                      <w:lang w:val="en-US" w:eastAsia="zh-CN"/>
                    </w:rPr>
                    <w:t>t/a</w:t>
                  </w:r>
                </w:p>
              </w:tc>
              <w:tc>
                <w:tcPr>
                  <w:tcW w:w="584"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val="en-US" w:eastAsia="zh-CN"/>
                    </w:rPr>
                  </w:pPr>
                  <w:r>
                    <w:rPr>
                      <w:rFonts w:hint="default" w:ascii="Times New Roman" w:hAnsi="Times New Roman" w:eastAsia="仿宋" w:cs="Times New Roman"/>
                      <w:color w:val="auto"/>
                      <w:sz w:val="20"/>
                      <w:szCs w:val="20"/>
                      <w:highlight w:val="none"/>
                      <w:lang w:val="en-US" w:eastAsia="zh-CN"/>
                    </w:rPr>
                    <w:t>注塑</w:t>
                  </w:r>
                </w:p>
              </w:tc>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val="en-US" w:eastAsia="zh-CN"/>
                    </w:rPr>
                  </w:pPr>
                  <w:r>
                    <w:rPr>
                      <w:rFonts w:hint="default" w:ascii="Times New Roman" w:hAnsi="Times New Roman" w:eastAsia="仿宋" w:cs="Times New Roman"/>
                      <w:color w:val="auto"/>
                      <w:sz w:val="20"/>
                      <w:szCs w:val="20"/>
                      <w:highlight w:val="none"/>
                      <w:lang w:val="en-US" w:eastAsia="zh-CN"/>
                    </w:rPr>
                    <w:t>注塑机</w:t>
                  </w:r>
                </w:p>
              </w:tc>
              <w:tc>
                <w:tcPr>
                  <w:tcW w:w="392"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lang w:val="en-US" w:eastAsia="zh-CN"/>
                    </w:rPr>
                    <w:t>有</w:t>
                  </w:r>
                  <w:r>
                    <w:rPr>
                      <w:rFonts w:hint="default" w:ascii="Times New Roman" w:hAnsi="Times New Roman" w:eastAsia="仿宋" w:cs="Times New Roman"/>
                      <w:color w:val="auto"/>
                      <w:sz w:val="20"/>
                      <w:szCs w:val="20"/>
                      <w:highlight w:val="none"/>
                    </w:rPr>
                    <w:t>组织</w:t>
                  </w: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0"/>
                      <w:szCs w:val="20"/>
                      <w:highlight w:val="none"/>
                      <w:lang w:val="en-US" w:eastAsia="zh-CN"/>
                    </w:rPr>
                  </w:pPr>
                  <w:r>
                    <w:rPr>
                      <w:rFonts w:hint="default" w:ascii="Times New Roman" w:hAnsi="Times New Roman" w:eastAsia="仿宋" w:cs="Times New Roman"/>
                      <w:color w:val="auto"/>
                      <w:sz w:val="20"/>
                      <w:szCs w:val="20"/>
                      <w:highlight w:val="none"/>
                      <w:lang w:val="en-US" w:eastAsia="zh-CN"/>
                    </w:rPr>
                    <w:t>VOCs</w:t>
                  </w:r>
                </w:p>
              </w:tc>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lang w:val="en-US" w:eastAsia="zh-CN"/>
                    </w:rPr>
                    <w:t>产污</w:t>
                  </w:r>
                  <w:r>
                    <w:rPr>
                      <w:rFonts w:hint="default" w:ascii="Times New Roman" w:hAnsi="Times New Roman" w:eastAsia="仿宋" w:cs="Times New Roman"/>
                      <w:color w:val="auto"/>
                      <w:sz w:val="20"/>
                      <w:szCs w:val="20"/>
                      <w:highlight w:val="none"/>
                    </w:rPr>
                    <w:t>系</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数</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val="en-US" w:eastAsia="zh-CN"/>
                    </w:rPr>
                  </w:pPr>
                  <w:r>
                    <w:rPr>
                      <w:rFonts w:hint="default" w:ascii="Times New Roman" w:hAnsi="Times New Roman" w:eastAsia="仿宋" w:cs="Times New Roman"/>
                      <w:color w:val="auto"/>
                      <w:sz w:val="20"/>
                      <w:szCs w:val="20"/>
                      <w:highlight w:val="none"/>
                    </w:rPr>
                    <w:t>法</w:t>
                  </w: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0000FF"/>
                      <w:sz w:val="20"/>
                      <w:szCs w:val="20"/>
                      <w:highlight w:val="none"/>
                    </w:rPr>
                  </w:pPr>
                  <w:r>
                    <w:rPr>
                      <w:rFonts w:hint="eastAsia"/>
                      <w:b w:val="0"/>
                      <w:bCs/>
                      <w:color w:val="auto"/>
                      <w:sz w:val="20"/>
                      <w:szCs w:val="20"/>
                      <w:vertAlign w:val="baseline"/>
                      <w:lang w:val="en-US" w:eastAsia="zh-CN"/>
                    </w:rPr>
                    <w:t>2.39</w:t>
                  </w:r>
                  <w:r>
                    <w:rPr>
                      <w:rFonts w:hint="eastAsia" w:eastAsia="宋体"/>
                      <w:b w:val="0"/>
                      <w:bCs/>
                      <w:color w:val="auto"/>
                      <w:sz w:val="20"/>
                      <w:szCs w:val="20"/>
                      <w:vertAlign w:val="baseline"/>
                      <w:lang w:val="en-US" w:eastAsia="zh-CN"/>
                    </w:rPr>
                    <w:t>×10</w:t>
                  </w:r>
                  <w:r>
                    <w:rPr>
                      <w:rFonts w:hint="eastAsia" w:eastAsia="宋体"/>
                      <w:b w:val="0"/>
                      <w:bCs/>
                      <w:color w:val="auto"/>
                      <w:sz w:val="20"/>
                      <w:szCs w:val="20"/>
                      <w:vertAlign w:val="superscript"/>
                      <w:lang w:val="en-US" w:eastAsia="zh-CN"/>
                    </w:rPr>
                    <w:t>7</w:t>
                  </w:r>
                </w:p>
              </w:tc>
              <w:tc>
                <w:tcPr>
                  <w:tcW w:w="768"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textAlignment w:val="center"/>
                    <w:rPr>
                      <w:rFonts w:hint="default" w:ascii="Times New Roman" w:hAnsi="Times New Roman" w:eastAsia="仿宋" w:cs="Times New Roman"/>
                      <w:color w:val="0000FF"/>
                      <w:kern w:val="2"/>
                      <w:sz w:val="20"/>
                      <w:szCs w:val="20"/>
                      <w:highlight w:val="none"/>
                      <w:lang w:val="en-US" w:eastAsia="zh-CN" w:bidi="ar-SA"/>
                    </w:rPr>
                  </w:pPr>
                  <w:r>
                    <w:rPr>
                      <w:rFonts w:hint="eastAsia" w:ascii="仿宋" w:hAnsi="仿宋" w:eastAsia="宋体" w:cs="仿宋"/>
                      <w:b w:val="0"/>
                      <w:bCs/>
                      <w:color w:val="auto"/>
                      <w:kern w:val="2"/>
                      <w:sz w:val="20"/>
                      <w:szCs w:val="20"/>
                      <w:highlight w:val="none"/>
                      <w:lang w:val="en-US" w:eastAsia="zh-CN" w:bidi="ar-SA"/>
                    </w:rPr>
                    <w:t>22.5</w:t>
                  </w:r>
                </w:p>
              </w:tc>
              <w:tc>
                <w:tcPr>
                  <w:tcW w:w="58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s="Times New Roman"/>
                      <w:color w:val="auto"/>
                      <w:kern w:val="2"/>
                      <w:sz w:val="20"/>
                      <w:szCs w:val="20"/>
                      <w:highlight w:val="none"/>
                      <w:lang w:val="en-US" w:eastAsia="zh-CN" w:bidi="ar-SA"/>
                    </w:rPr>
                    <w:t>0.54</w:t>
                  </w:r>
                </w:p>
              </w:tc>
              <w:tc>
                <w:tcPr>
                  <w:tcW w:w="1068" w:type="dxa"/>
                  <w:gridSpan w:val="2"/>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val="en-US" w:eastAsia="zh-CN"/>
                    </w:rPr>
                  </w:pPr>
                  <w:r>
                    <w:rPr>
                      <w:rFonts w:hint="default" w:ascii="Times New Roman" w:hAnsi="Times New Roman" w:eastAsia="仿宋" w:cs="Times New Roman"/>
                      <w:color w:val="auto"/>
                      <w:sz w:val="20"/>
                      <w:szCs w:val="20"/>
                      <w:highlight w:val="none"/>
                      <w:lang w:val="en-US" w:eastAsia="zh-CN"/>
                    </w:rPr>
                    <w:t>集气罩（收集效率80%）+</w:t>
                  </w:r>
                  <w:r>
                    <w:rPr>
                      <w:rFonts w:hint="default" w:ascii="Times New Roman" w:hAnsi="Times New Roman" w:eastAsia="仿宋" w:cs="Times New Roman"/>
                      <w:color w:val="auto"/>
                      <w:sz w:val="20"/>
                      <w:szCs w:val="20"/>
                      <w:highlight w:val="none"/>
                    </w:rPr>
                    <w:t>活性炭吸附</w:t>
                  </w:r>
                  <w:r>
                    <w:rPr>
                      <w:rFonts w:hint="default" w:ascii="Times New Roman" w:hAnsi="Times New Roman" w:eastAsia="仿宋" w:cs="Times New Roman"/>
                      <w:color w:val="auto"/>
                      <w:sz w:val="20"/>
                      <w:szCs w:val="20"/>
                      <w:highlight w:val="none"/>
                      <w:lang w:eastAsia="zh-CN"/>
                    </w:rPr>
                    <w:t>（</w:t>
                  </w:r>
                  <w:r>
                    <w:rPr>
                      <w:rFonts w:hint="default" w:ascii="Times New Roman" w:hAnsi="Times New Roman" w:eastAsia="仿宋" w:cs="Times New Roman"/>
                      <w:color w:val="auto"/>
                      <w:sz w:val="20"/>
                      <w:szCs w:val="20"/>
                      <w:highlight w:val="none"/>
                      <w:lang w:val="en-US" w:eastAsia="zh-CN"/>
                    </w:rPr>
                    <w:t>吸附效率70%</w:t>
                  </w:r>
                  <w:r>
                    <w:rPr>
                      <w:rFonts w:hint="default" w:ascii="Times New Roman" w:hAnsi="Times New Roman" w:eastAsia="仿宋" w:cs="Times New Roman"/>
                      <w:color w:val="auto"/>
                      <w:sz w:val="20"/>
                      <w:szCs w:val="20"/>
                      <w:highlight w:val="none"/>
                      <w:lang w:eastAsia="zh-CN"/>
                    </w:rPr>
                    <w:t>）</w:t>
                  </w:r>
                </w:p>
              </w:tc>
              <w:tc>
                <w:tcPr>
                  <w:tcW w:w="392" w:type="dxa"/>
                  <w:vMerge w:val="restart"/>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系</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数</w:t>
                  </w:r>
                </w:p>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rPr>
                    <w:t>法</w:t>
                  </w: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0000FF"/>
                      <w:sz w:val="20"/>
                      <w:szCs w:val="20"/>
                      <w:highlight w:val="none"/>
                    </w:rPr>
                  </w:pPr>
                  <w:r>
                    <w:rPr>
                      <w:rFonts w:hint="eastAsia"/>
                      <w:b w:val="0"/>
                      <w:bCs/>
                      <w:color w:val="auto"/>
                      <w:sz w:val="20"/>
                      <w:szCs w:val="20"/>
                      <w:vertAlign w:val="baseline"/>
                      <w:lang w:val="en-US" w:eastAsia="zh-CN"/>
                    </w:rPr>
                    <w:t>2.39</w:t>
                  </w:r>
                  <w:r>
                    <w:rPr>
                      <w:rFonts w:hint="eastAsia" w:eastAsia="宋体"/>
                      <w:b w:val="0"/>
                      <w:bCs/>
                      <w:color w:val="auto"/>
                      <w:sz w:val="20"/>
                      <w:szCs w:val="20"/>
                      <w:vertAlign w:val="baseline"/>
                      <w:lang w:val="en-US" w:eastAsia="zh-CN"/>
                    </w:rPr>
                    <w:t>×10</w:t>
                  </w:r>
                  <w:r>
                    <w:rPr>
                      <w:rFonts w:hint="eastAsia" w:eastAsia="宋体"/>
                      <w:b w:val="0"/>
                      <w:bCs/>
                      <w:color w:val="auto"/>
                      <w:sz w:val="20"/>
                      <w:szCs w:val="20"/>
                      <w:vertAlign w:val="superscript"/>
                      <w:lang w:val="en-US" w:eastAsia="zh-CN"/>
                    </w:rPr>
                    <w:t>7</w:t>
                  </w:r>
                </w:p>
              </w:tc>
              <w:tc>
                <w:tcPr>
                  <w:tcW w:w="676" w:type="dxa"/>
                  <w:tcBorders>
                    <w:tl2br w:val="nil"/>
                    <w:tr2bl w:val="nil"/>
                  </w:tcBorders>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textAlignment w:val="center"/>
                    <w:rPr>
                      <w:rFonts w:hint="default" w:ascii="Times New Roman" w:hAnsi="Times New Roman" w:eastAsia="仿宋" w:cs="Times New Roman"/>
                      <w:color w:val="0000FF"/>
                      <w:kern w:val="2"/>
                      <w:sz w:val="20"/>
                      <w:szCs w:val="20"/>
                      <w:highlight w:val="none"/>
                      <w:lang w:val="en-US" w:eastAsia="zh-CN" w:bidi="ar-SA"/>
                    </w:rPr>
                  </w:pPr>
                  <w:r>
                    <w:rPr>
                      <w:rFonts w:hint="eastAsia"/>
                      <w:b w:val="0"/>
                      <w:bCs/>
                      <w:color w:val="auto"/>
                      <w:sz w:val="20"/>
                      <w:szCs w:val="20"/>
                      <w:vertAlign w:val="baseline"/>
                      <w:lang w:val="en-US" w:eastAsia="zh-CN"/>
                    </w:rPr>
                    <w:t>6.75</w:t>
                  </w:r>
                </w:p>
              </w:tc>
              <w:tc>
                <w:tcPr>
                  <w:tcW w:w="67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s="Times New Roman"/>
                      <w:color w:val="auto"/>
                      <w:kern w:val="2"/>
                      <w:sz w:val="20"/>
                      <w:szCs w:val="20"/>
                      <w:highlight w:val="none"/>
                      <w:lang w:val="en-US" w:eastAsia="zh-CN" w:bidi="ar-SA"/>
                    </w:rPr>
                    <w:t>0.162</w:t>
                  </w:r>
                </w:p>
              </w:tc>
              <w:tc>
                <w:tcPr>
                  <w:tcW w:w="58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0"/>
                      <w:szCs w:val="20"/>
                      <w:highlight w:val="none"/>
                      <w:lang w:val="en-US" w:eastAsia="zh-CN"/>
                    </w:rPr>
                  </w:pPr>
                  <w:r>
                    <w:rPr>
                      <w:rFonts w:hint="eastAsia" w:eastAsia="仿宋" w:cs="Times New Roman"/>
                      <w:color w:val="auto"/>
                      <w:sz w:val="20"/>
                      <w:szCs w:val="20"/>
                      <w:highlight w:val="no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392"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lang w:val="en-US" w:eastAsia="zh-CN"/>
                    </w:rPr>
                    <w:t>无</w:t>
                  </w:r>
                  <w:r>
                    <w:rPr>
                      <w:rFonts w:hint="default" w:ascii="Times New Roman" w:hAnsi="Times New Roman" w:eastAsia="仿宋" w:cs="Times New Roman"/>
                      <w:color w:val="auto"/>
                      <w:sz w:val="20"/>
                      <w:szCs w:val="20"/>
                      <w:highlight w:val="none"/>
                    </w:rPr>
                    <w:t>组织</w:t>
                  </w:r>
                </w:p>
              </w:tc>
              <w:tc>
                <w:tcPr>
                  <w:tcW w:w="58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0"/>
                      <w:szCs w:val="20"/>
                      <w:highlight w:val="none"/>
                    </w:rPr>
                  </w:pPr>
                  <w:r>
                    <w:rPr>
                      <w:rFonts w:hint="default" w:ascii="Times New Roman" w:hAnsi="Times New Roman" w:eastAsia="仿宋" w:cs="Times New Roman"/>
                      <w:color w:val="auto"/>
                      <w:sz w:val="20"/>
                      <w:szCs w:val="20"/>
                      <w:highlight w:val="none"/>
                      <w:lang w:val="en-US" w:eastAsia="zh-CN"/>
                    </w:rPr>
                    <w:t>VOCs</w:t>
                  </w:r>
                </w:p>
              </w:tc>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0000FF"/>
                      <w:sz w:val="20"/>
                      <w:szCs w:val="20"/>
                      <w:highlight w:val="none"/>
                      <w:lang w:val="en-US" w:eastAsia="zh-CN"/>
                    </w:rPr>
                  </w:pPr>
                </w:p>
              </w:tc>
              <w:tc>
                <w:tcPr>
                  <w:tcW w:w="768" w:type="dxa"/>
                  <w:tcBorders>
                    <w:tl2br w:val="nil"/>
                    <w:tr2bl w:val="nil"/>
                  </w:tcBorders>
                  <w:vAlign w:val="center"/>
                </w:tcPr>
                <w:p>
                  <w:pPr>
                    <w:pStyle w:val="49"/>
                    <w:keepNext w:val="0"/>
                    <w:keepLines w:val="0"/>
                    <w:pageBreakBefore w:val="0"/>
                    <w:suppressLineNumbers w:val="0"/>
                    <w:kinsoku/>
                    <w:wordWrap/>
                    <w:overflowPunct/>
                    <w:topLinePunct w:val="0"/>
                    <w:bidi w:val="0"/>
                    <w:spacing w:before="0" w:beforeAutospacing="0" w:after="0" w:afterAutospacing="0" w:line="360" w:lineRule="auto"/>
                    <w:ind w:left="0" w:right="0"/>
                    <w:rPr>
                      <w:rFonts w:hint="default" w:ascii="Times New Roman" w:hAnsi="Times New Roman" w:eastAsia="仿宋" w:cs="Times New Roman"/>
                      <w:color w:val="0000FF"/>
                      <w:sz w:val="20"/>
                      <w:szCs w:val="20"/>
                      <w:highlight w:val="none"/>
                      <w:lang w:val="en-US" w:eastAsia="zh-CN"/>
                    </w:rPr>
                  </w:pPr>
                  <w:r>
                    <w:rPr>
                      <w:rFonts w:hint="eastAsia" w:ascii="仿宋" w:hAnsi="仿宋" w:eastAsia="宋体" w:cs="仿宋"/>
                      <w:b w:val="0"/>
                      <w:bCs/>
                      <w:color w:val="auto"/>
                      <w:sz w:val="20"/>
                      <w:szCs w:val="20"/>
                      <w:highlight w:val="none"/>
                      <w:lang w:val="en-US" w:eastAsia="zh-CN"/>
                    </w:rPr>
                    <w:t>-</w:t>
                  </w:r>
                </w:p>
              </w:tc>
              <w:tc>
                <w:tcPr>
                  <w:tcW w:w="58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s="Times New Roman"/>
                      <w:color w:val="auto"/>
                      <w:kern w:val="2"/>
                      <w:sz w:val="20"/>
                      <w:szCs w:val="20"/>
                      <w:highlight w:val="none"/>
                      <w:lang w:val="en-US" w:eastAsia="zh-CN" w:bidi="ar-SA"/>
                    </w:rPr>
                    <w:t>0.108</w:t>
                  </w:r>
                </w:p>
              </w:tc>
              <w:tc>
                <w:tcPr>
                  <w:tcW w:w="1068" w:type="dxa"/>
                  <w:gridSpan w:val="2"/>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lang w:val="en-US" w:eastAsia="zh-CN"/>
                    </w:rPr>
                  </w:pPr>
                </w:p>
              </w:tc>
              <w:tc>
                <w:tcPr>
                  <w:tcW w:w="392" w:type="dxa"/>
                  <w:vMerge w:val="continue"/>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auto"/>
                      <w:sz w:val="20"/>
                      <w:szCs w:val="20"/>
                      <w:highlight w:val="none"/>
                    </w:rPr>
                  </w:pPr>
                </w:p>
              </w:tc>
              <w:tc>
                <w:tcPr>
                  <w:tcW w:w="581" w:type="dxa"/>
                  <w:tcBorders>
                    <w:tl2br w:val="nil"/>
                    <w:tr2bl w:val="nil"/>
                  </w:tcBorders>
                  <w:vAlign w:val="center"/>
                </w:tcPr>
                <w:p>
                  <w:pPr>
                    <w:pStyle w:val="49"/>
                    <w:keepNext w:val="0"/>
                    <w:keepLines w:val="0"/>
                    <w:suppressLineNumbers w:val="0"/>
                    <w:spacing w:before="0" w:beforeAutospacing="0" w:after="0" w:afterAutospacing="0" w:line="240" w:lineRule="auto"/>
                    <w:ind w:left="0" w:right="0"/>
                    <w:rPr>
                      <w:rFonts w:hint="default" w:ascii="Times New Roman" w:hAnsi="Times New Roman" w:eastAsia="仿宋" w:cs="Times New Roman"/>
                      <w:color w:val="0000FF"/>
                      <w:sz w:val="20"/>
                      <w:szCs w:val="20"/>
                      <w:highlight w:val="none"/>
                      <w:lang w:val="en-US" w:eastAsia="zh-CN"/>
                    </w:rPr>
                  </w:pPr>
                  <w:r>
                    <w:rPr>
                      <w:rFonts w:hint="default" w:ascii="Times New Roman" w:hAnsi="Times New Roman" w:eastAsia="仿宋" w:cs="Times New Roman"/>
                      <w:color w:val="0000FF"/>
                      <w:sz w:val="20"/>
                      <w:szCs w:val="20"/>
                      <w:highlight w:val="none"/>
                      <w:lang w:val="en-US" w:eastAsia="zh-CN"/>
                    </w:rPr>
                    <w:t>-</w:t>
                  </w:r>
                </w:p>
              </w:tc>
              <w:tc>
                <w:tcPr>
                  <w:tcW w:w="676" w:type="dxa"/>
                  <w:tcBorders>
                    <w:tl2br w:val="nil"/>
                    <w:tr2bl w:val="nil"/>
                  </w:tcBorders>
                  <w:vAlign w:val="center"/>
                </w:tcPr>
                <w:p>
                  <w:pPr>
                    <w:pStyle w:val="49"/>
                    <w:keepNext w:val="0"/>
                    <w:keepLines w:val="0"/>
                    <w:pageBreakBefore w:val="0"/>
                    <w:suppressLineNumbers w:val="0"/>
                    <w:kinsoku/>
                    <w:wordWrap/>
                    <w:overflowPunct/>
                    <w:topLinePunct w:val="0"/>
                    <w:bidi w:val="0"/>
                    <w:spacing w:before="0" w:beforeAutospacing="0" w:after="0" w:afterAutospacing="0" w:line="360" w:lineRule="auto"/>
                    <w:ind w:left="0" w:right="0"/>
                    <w:rPr>
                      <w:rFonts w:hint="default" w:ascii="Times New Roman" w:hAnsi="Times New Roman" w:eastAsia="仿宋" w:cs="Times New Roman"/>
                      <w:color w:val="0000FF"/>
                      <w:sz w:val="20"/>
                      <w:szCs w:val="20"/>
                      <w:highlight w:val="none"/>
                      <w:lang w:val="en-US" w:eastAsia="zh-CN"/>
                    </w:rPr>
                  </w:pPr>
                  <w:r>
                    <w:rPr>
                      <w:rFonts w:hint="eastAsia" w:ascii="仿宋" w:hAnsi="仿宋" w:eastAsia="宋体" w:cs="仿宋"/>
                      <w:b w:val="0"/>
                      <w:bCs/>
                      <w:color w:val="auto"/>
                      <w:sz w:val="20"/>
                      <w:szCs w:val="20"/>
                      <w:highlight w:val="none"/>
                      <w:lang w:val="en-US" w:eastAsia="zh-CN"/>
                    </w:rPr>
                    <w:t>-</w:t>
                  </w:r>
                </w:p>
              </w:tc>
              <w:tc>
                <w:tcPr>
                  <w:tcW w:w="67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kern w:val="2"/>
                      <w:sz w:val="20"/>
                      <w:szCs w:val="20"/>
                      <w:highlight w:val="none"/>
                      <w:lang w:val="en-US" w:eastAsia="zh-CN" w:bidi="ar-SA"/>
                    </w:rPr>
                  </w:pPr>
                  <w:r>
                    <w:rPr>
                      <w:rFonts w:hint="eastAsia" w:eastAsia="仿宋" w:cs="Times New Roman"/>
                      <w:color w:val="auto"/>
                      <w:kern w:val="2"/>
                      <w:sz w:val="20"/>
                      <w:szCs w:val="20"/>
                      <w:highlight w:val="none"/>
                      <w:lang w:val="en-US" w:eastAsia="zh-CN" w:bidi="ar-SA"/>
                    </w:rPr>
                    <w:t>0.108</w:t>
                  </w:r>
                </w:p>
              </w:tc>
              <w:tc>
                <w:tcPr>
                  <w:tcW w:w="58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0"/>
                      <w:szCs w:val="20"/>
                      <w:highlight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本项目VOCs的有组织排放浓度为</w:t>
            </w:r>
            <w:r>
              <w:rPr>
                <w:rFonts w:hint="eastAsia" w:cs="Times New Roman"/>
                <w:bCs/>
                <w:color w:val="auto"/>
                <w:sz w:val="24"/>
                <w:szCs w:val="24"/>
                <w:lang w:val="en-US" w:eastAsia="zh-CN"/>
              </w:rPr>
              <w:t>5.4</w:t>
            </w:r>
            <w:r>
              <w:rPr>
                <w:rFonts w:hint="default" w:ascii="Times New Roman" w:hAnsi="Times New Roman" w:eastAsia="宋体" w:cs="Times New Roman"/>
                <w:bCs/>
                <w:color w:val="auto"/>
                <w:sz w:val="24"/>
                <w:szCs w:val="24"/>
                <w:lang w:val="en-US" w:eastAsia="zh-CN"/>
              </w:rPr>
              <w:t>mg/m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，符合</w:t>
            </w:r>
            <w:r>
              <w:rPr>
                <w:rFonts w:hint="default" w:ascii="Times New Roman" w:hAnsi="Times New Roman" w:eastAsia="宋体" w:cs="Times New Roman"/>
                <w:color w:val="auto"/>
                <w:sz w:val="24"/>
                <w:szCs w:val="24"/>
                <w:lang w:val="en-US" w:eastAsia="zh-CN"/>
              </w:rPr>
              <w:t>《合成树脂工业污染物排放标准》（GB31572-2015）中“表4”的排放限值100mg/m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pPr>
              <w:pStyle w:val="16"/>
              <w:keepNext w:val="0"/>
              <w:keepLines w:val="0"/>
              <w:numPr>
                <w:ilvl w:val="0"/>
                <w:numId w:val="7"/>
              </w:numPr>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非正常工况排放</w:t>
            </w:r>
          </w:p>
          <w:p>
            <w:pPr>
              <w:keepNext w:val="0"/>
              <w:keepLines w:val="0"/>
              <w:suppressLineNumbers w:val="0"/>
              <w:spacing w:before="0" w:beforeAutospacing="0" w:after="0" w:afterAutospacing="0"/>
              <w:ind w:left="0" w:right="0"/>
              <w:jc w:val="center"/>
              <w:rPr>
                <w:rFonts w:hint="default" w:ascii="Times New Roman" w:hAnsi="Times New Roman" w:cs="Times New Roman"/>
                <w:b/>
                <w:bCs w:val="0"/>
                <w:sz w:val="24"/>
                <w:szCs w:val="24"/>
                <w:lang w:val="en-US" w:eastAsia="zh-CN"/>
              </w:rPr>
            </w:pPr>
            <w:r>
              <w:rPr>
                <w:rFonts w:hint="default" w:ascii="Times New Roman" w:hAnsi="Times New Roman" w:eastAsia="宋体" w:cs="Times New Roman"/>
                <w:b/>
                <w:bCs w:val="0"/>
                <w:color w:val="auto"/>
                <w:sz w:val="24"/>
                <w:szCs w:val="24"/>
                <w:lang w:val="en-US" w:eastAsia="zh-CN"/>
              </w:rPr>
              <w:t>表4-2 污染源非正常工况排放核算表</w:t>
            </w:r>
          </w:p>
          <w:tbl>
            <w:tblPr>
              <w:tblStyle w:val="23"/>
              <w:tblpPr w:leftFromText="180" w:rightFromText="180" w:vertAnchor="text" w:horzAnchor="page" w:tblpX="170" w:tblpY="53"/>
              <w:tblOverlap w:val="never"/>
              <w:tblW w:w="80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43"/>
              <w:gridCol w:w="703"/>
              <w:gridCol w:w="703"/>
              <w:gridCol w:w="758"/>
              <w:gridCol w:w="990"/>
              <w:gridCol w:w="930"/>
              <w:gridCol w:w="966"/>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排放源</w:t>
                  </w:r>
                </w:p>
              </w:tc>
              <w:tc>
                <w:tcPr>
                  <w:tcW w:w="114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原因</w:t>
                  </w:r>
                </w:p>
              </w:tc>
              <w:tc>
                <w:tcPr>
                  <w:tcW w:w="70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收集效率</w:t>
                  </w:r>
                </w:p>
              </w:tc>
              <w:tc>
                <w:tcPr>
                  <w:tcW w:w="70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处理效率</w:t>
                  </w:r>
                </w:p>
              </w:tc>
              <w:tc>
                <w:tcPr>
                  <w:tcW w:w="75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w:t>
                  </w:r>
                </w:p>
              </w:tc>
              <w:tc>
                <w:tcPr>
                  <w:tcW w:w="99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排放速率/kg/h</w:t>
                  </w:r>
                </w:p>
              </w:tc>
              <w:tc>
                <w:tcPr>
                  <w:tcW w:w="93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排放浓度/mg/m</w:t>
                  </w:r>
                  <w:r>
                    <w:rPr>
                      <w:rFonts w:hint="default" w:ascii="Times New Roman" w:hAnsi="Times New Roman" w:eastAsia="宋体" w:cs="Times New Roman"/>
                      <w:sz w:val="21"/>
                      <w:szCs w:val="21"/>
                      <w:vertAlign w:val="superscript"/>
                      <w:lang w:val="en-US" w:eastAsia="zh-CN"/>
                    </w:rPr>
                    <w:t>3</w:t>
                  </w:r>
                </w:p>
              </w:tc>
              <w:tc>
                <w:tcPr>
                  <w:tcW w:w="966"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单次持续时间/h</w:t>
                  </w:r>
                </w:p>
              </w:tc>
              <w:tc>
                <w:tcPr>
                  <w:tcW w:w="1076"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年发生</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8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注塑机</w:t>
                  </w:r>
                </w:p>
              </w:tc>
              <w:tc>
                <w:tcPr>
                  <w:tcW w:w="114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活性炭失活</w:t>
                  </w:r>
                </w:p>
              </w:tc>
              <w:tc>
                <w:tcPr>
                  <w:tcW w:w="70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70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75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c>
                <w:tcPr>
                  <w:tcW w:w="99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0.675</w:t>
                  </w:r>
                </w:p>
              </w:tc>
              <w:tc>
                <w:tcPr>
                  <w:tcW w:w="93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w:t>
                  </w:r>
                </w:p>
              </w:tc>
              <w:tc>
                <w:tcPr>
                  <w:tcW w:w="966"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&lt;1</w:t>
                  </w:r>
                </w:p>
              </w:tc>
              <w:tc>
                <w:tcPr>
                  <w:tcW w:w="1076"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bl>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p>
            <w:pPr>
              <w:pStyle w:val="16"/>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由上表可知，本项目活性炭箱失活情况下，VOCs的排放浓度</w:t>
            </w:r>
            <w:r>
              <w:rPr>
                <w:rFonts w:hint="eastAsia" w:cs="Times New Roman"/>
                <w:b w:val="0"/>
                <w:bCs/>
                <w:color w:val="auto"/>
                <w:sz w:val="24"/>
                <w:szCs w:val="24"/>
                <w:lang w:val="en-US" w:eastAsia="zh-CN"/>
              </w:rPr>
              <w:t>22.5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，未</w:t>
            </w:r>
            <w:r>
              <w:rPr>
                <w:rFonts w:hint="default" w:ascii="Times New Roman" w:hAnsi="Times New Roman" w:eastAsia="宋体" w:cs="Times New Roman"/>
                <w:b w:val="0"/>
                <w:bCs/>
                <w:color w:val="auto"/>
                <w:sz w:val="24"/>
                <w:szCs w:val="24"/>
                <w:lang w:val="en-US" w:eastAsia="zh-CN"/>
              </w:rPr>
              <w:t>超过</w:t>
            </w:r>
            <w:r>
              <w:rPr>
                <w:rFonts w:hint="default" w:ascii="Times New Roman" w:hAnsi="Times New Roman" w:eastAsia="宋体" w:cs="Times New Roman"/>
                <w:color w:val="auto"/>
                <w:sz w:val="24"/>
                <w:szCs w:val="24"/>
                <w:lang w:val="en-US" w:eastAsia="zh-CN"/>
              </w:rPr>
              <w:t>《合成树脂工业污染物排放标准》（GB31572-2015）中“表4”的排放限值100mg/m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。项目单位应及时更换箱内的活性炭，确保VOCs的排放符合规定要求。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宋体" w:hAnsi="宋体" w:eastAsia="宋体" w:cs="宋体"/>
                <w:b/>
                <w:bCs/>
                <w:smallCaps w:val="0"/>
                <w:color w:val="auto"/>
                <w:kern w:val="2"/>
                <w:sz w:val="24"/>
                <w:szCs w:val="24"/>
                <w:highlight w:val="none"/>
                <w:vertAlign w:val="baseline"/>
                <w:lang w:val="en-US" w:eastAsia="zh-CN" w:bidi="ar-SA"/>
              </w:rPr>
            </w:pPr>
            <w:r>
              <w:rPr>
                <w:rFonts w:hint="eastAsia" w:ascii="宋体" w:hAnsi="宋体" w:eastAsia="宋体" w:cs="宋体"/>
                <w:b/>
                <w:bCs/>
                <w:smallCaps w:val="0"/>
                <w:color w:val="auto"/>
                <w:kern w:val="2"/>
                <w:sz w:val="24"/>
                <w:szCs w:val="24"/>
                <w:highlight w:val="none"/>
                <w:vertAlign w:val="baseline"/>
                <w:lang w:val="en-US" w:eastAsia="zh-CN" w:bidi="ar-SA"/>
              </w:rPr>
              <w:t>3.</w:t>
            </w:r>
            <w:r>
              <w:rPr>
                <w:rFonts w:hint="default" w:ascii="Times New Roman" w:hAnsi="Times New Roman" w:eastAsia="宋体" w:cs="Times New Roman"/>
                <w:b/>
                <w:bCs/>
                <w:color w:val="auto"/>
                <w:sz w:val="24"/>
                <w:szCs w:val="24"/>
              </w:rPr>
              <w:t>大气环境影响分析</w:t>
            </w:r>
          </w:p>
          <w:p>
            <w:pPr>
              <w:keepNext w:val="0"/>
              <w:keepLines w:val="0"/>
              <w:suppressLineNumbers w:val="0"/>
              <w:spacing w:before="0" w:beforeAutospacing="0" w:after="0" w:afterAutospacing="0" w:line="360" w:lineRule="auto"/>
              <w:ind w:left="0" w:right="0" w:firstLine="480"/>
              <w:rPr>
                <w:rFonts w:hint="eastAsia" w:ascii="宋体" w:hAnsi="宋体" w:eastAsia="宋体" w:cs="宋体"/>
                <w:b w:val="0"/>
                <w:bCs/>
                <w:color w:val="auto"/>
                <w:sz w:val="24"/>
                <w:szCs w:val="24"/>
                <w:lang w:val="en-US" w:eastAsia="zh-CN"/>
              </w:rPr>
            </w:pPr>
            <w:r>
              <w:rPr>
                <w:rFonts w:hint="default" w:ascii="Times New Roman" w:hAnsi="Times New Roman" w:eastAsia="宋体" w:cs="Times New Roman"/>
                <w:b w:val="0"/>
                <w:bCs/>
                <w:color w:val="auto"/>
                <w:sz w:val="24"/>
                <w:szCs w:val="24"/>
                <w:vertAlign w:val="baseline"/>
                <w:lang w:val="en-US" w:eastAsia="zh-CN"/>
              </w:rPr>
              <w:t>本项目注塑工艺废气VOCs</w:t>
            </w:r>
            <w:r>
              <w:rPr>
                <w:rFonts w:hint="default" w:ascii="Times New Roman" w:hAnsi="Times New Roman" w:cs="Times New Roman"/>
                <w:b w:val="0"/>
                <w:bCs/>
                <w:color w:val="auto"/>
                <w:sz w:val="24"/>
                <w:szCs w:val="24"/>
                <w:vertAlign w:val="baseline"/>
                <w:lang w:val="en-US" w:eastAsia="zh-CN"/>
              </w:rPr>
              <w:t>有组织</w:t>
            </w:r>
            <w:r>
              <w:rPr>
                <w:rFonts w:hint="default" w:ascii="Times New Roman" w:hAnsi="Times New Roman" w:eastAsia="宋体" w:cs="Times New Roman"/>
                <w:b w:val="0"/>
                <w:bCs/>
                <w:color w:val="auto"/>
                <w:sz w:val="24"/>
                <w:szCs w:val="24"/>
                <w:vertAlign w:val="baseline"/>
                <w:lang w:val="en-US" w:eastAsia="zh-CN"/>
              </w:rPr>
              <w:t>排放量为0.</w:t>
            </w:r>
            <w:r>
              <w:rPr>
                <w:rFonts w:hint="default" w:ascii="Times New Roman" w:hAnsi="Times New Roman" w:cs="Times New Roman"/>
                <w:b w:val="0"/>
                <w:bCs/>
                <w:color w:val="auto"/>
                <w:sz w:val="24"/>
                <w:szCs w:val="24"/>
                <w:vertAlign w:val="baseline"/>
                <w:lang w:val="en-US" w:eastAsia="zh-CN"/>
              </w:rPr>
              <w:t>162</w:t>
            </w:r>
            <w:r>
              <w:rPr>
                <w:rFonts w:hint="default" w:ascii="Times New Roman" w:hAnsi="Times New Roman" w:eastAsia="宋体" w:cs="Times New Roman"/>
                <w:b w:val="0"/>
                <w:bCs/>
                <w:color w:val="auto"/>
                <w:sz w:val="24"/>
                <w:szCs w:val="24"/>
                <w:vertAlign w:val="baseline"/>
                <w:lang w:val="en-US" w:eastAsia="zh-CN"/>
              </w:rPr>
              <w:t>t/a，</w:t>
            </w:r>
            <w:r>
              <w:rPr>
                <w:rFonts w:hint="default" w:ascii="Times New Roman" w:hAnsi="Times New Roman" w:cs="Times New Roman"/>
                <w:b w:val="0"/>
                <w:bCs/>
                <w:color w:val="auto"/>
                <w:sz w:val="24"/>
                <w:szCs w:val="24"/>
                <w:vertAlign w:val="baseline"/>
                <w:lang w:val="en-US" w:eastAsia="zh-CN"/>
              </w:rPr>
              <w:t>有组织</w:t>
            </w:r>
            <w:r>
              <w:rPr>
                <w:rFonts w:hint="default" w:ascii="Times New Roman" w:hAnsi="Times New Roman" w:eastAsia="宋体" w:cs="Times New Roman"/>
                <w:b w:val="0"/>
                <w:bCs/>
                <w:color w:val="auto"/>
                <w:sz w:val="24"/>
                <w:szCs w:val="24"/>
                <w:vertAlign w:val="baseline"/>
                <w:lang w:val="en-US" w:eastAsia="zh-CN"/>
              </w:rPr>
              <w:t>排放浓度为</w:t>
            </w:r>
            <w:r>
              <w:rPr>
                <w:rFonts w:hint="default" w:ascii="Times New Roman" w:hAnsi="Times New Roman" w:cs="Times New Roman"/>
                <w:b w:val="0"/>
                <w:bCs/>
                <w:color w:val="auto"/>
                <w:sz w:val="24"/>
                <w:szCs w:val="24"/>
                <w:vertAlign w:val="baseline"/>
                <w:lang w:val="en-US" w:eastAsia="zh-CN"/>
              </w:rPr>
              <w:t>6.75</w:t>
            </w:r>
            <w:r>
              <w:rPr>
                <w:rFonts w:hint="default" w:ascii="Times New Roman" w:hAnsi="Times New Roman" w:eastAsia="宋体" w:cs="Times New Roman"/>
                <w:b w:val="0"/>
                <w:bCs/>
                <w:color w:val="auto"/>
                <w:sz w:val="24"/>
                <w:szCs w:val="24"/>
                <w:vertAlign w:val="baseline"/>
                <w:lang w:val="en-US" w:eastAsia="zh-CN"/>
              </w:rPr>
              <w:t>mg/m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vertAlign w:val="baseline"/>
                <w:lang w:val="en-US" w:eastAsia="zh-CN"/>
              </w:rPr>
              <w:t>。</w:t>
            </w:r>
            <w:r>
              <w:rPr>
                <w:rFonts w:hint="default" w:ascii="Times New Roman" w:hAnsi="Times New Roman" w:eastAsia="宋体" w:cs="Times New Roman"/>
                <w:color w:val="auto"/>
                <w:sz w:val="24"/>
                <w:szCs w:val="24"/>
              </w:rPr>
              <w:t>各项指标均满足</w:t>
            </w:r>
            <w:r>
              <w:rPr>
                <w:rFonts w:hint="default" w:ascii="Times New Roman" w:hAnsi="Times New Roman" w:eastAsia="宋体" w:cs="Times New Roman"/>
                <w:b w:val="0"/>
                <w:bCs/>
                <w:color w:val="auto"/>
                <w:sz w:val="24"/>
                <w:szCs w:val="24"/>
                <w:lang w:val="en-US" w:eastAsia="zh-CN"/>
              </w:rPr>
              <w:t>《合成树脂工业污染物排放标准》（GB31572-2015）要求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rPr>
              <w:t>本项目拟采用的排气筒高度、污染防治措施、经处理后的污染物排放浓度与排放速率均符合</w:t>
            </w:r>
            <w:r>
              <w:rPr>
                <w:rFonts w:hint="default" w:ascii="Times New Roman" w:hAnsi="Times New Roman" w:eastAsia="宋体" w:cs="Times New Roman"/>
                <w:bCs/>
                <w:color w:val="auto"/>
                <w:sz w:val="24"/>
                <w:szCs w:val="24"/>
                <w:highlight w:val="none"/>
                <w:lang w:eastAsia="zh-CN"/>
              </w:rPr>
              <w:t>相关政策</w:t>
            </w:r>
            <w:r>
              <w:rPr>
                <w:rFonts w:hint="default" w:ascii="Times New Roman" w:hAnsi="Times New Roman" w:eastAsia="宋体" w:cs="Times New Roman"/>
                <w:bCs/>
                <w:color w:val="auto"/>
                <w:sz w:val="24"/>
                <w:szCs w:val="24"/>
                <w:highlight w:val="none"/>
              </w:rPr>
              <w:t>的要求</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 w:val="0"/>
                <w:bCs/>
                <w:smallCaps w:val="0"/>
                <w:color w:val="auto"/>
                <w:kern w:val="2"/>
                <w:sz w:val="24"/>
                <w:szCs w:val="24"/>
                <w:highlight w:val="none"/>
                <w:vertAlign w:val="baseline"/>
                <w:lang w:val="en-US" w:eastAsia="zh-CN" w:bidi="ar-SA"/>
              </w:rPr>
              <w:t>本项目VOCs污染物无组织排放量为0.</w:t>
            </w:r>
            <w:r>
              <w:rPr>
                <w:rFonts w:hint="default" w:ascii="Times New Roman" w:hAnsi="Times New Roman" w:cs="Times New Roman"/>
                <w:b w:val="0"/>
                <w:bCs/>
                <w:smallCaps w:val="0"/>
                <w:color w:val="auto"/>
                <w:kern w:val="2"/>
                <w:sz w:val="24"/>
                <w:szCs w:val="24"/>
                <w:highlight w:val="none"/>
                <w:vertAlign w:val="baseline"/>
                <w:lang w:val="en-US" w:eastAsia="zh-CN" w:bidi="ar-SA"/>
              </w:rPr>
              <w:t>108</w:t>
            </w:r>
            <w:r>
              <w:rPr>
                <w:rFonts w:hint="default" w:ascii="Times New Roman" w:hAnsi="Times New Roman" w:eastAsia="宋体" w:cs="Times New Roman"/>
                <w:b w:val="0"/>
                <w:bCs/>
                <w:smallCaps w:val="0"/>
                <w:color w:val="auto"/>
                <w:kern w:val="2"/>
                <w:sz w:val="24"/>
                <w:szCs w:val="24"/>
                <w:highlight w:val="none"/>
                <w:vertAlign w:val="baseline"/>
                <w:lang w:val="en-US" w:eastAsia="zh-CN" w:bidi="ar-SA"/>
              </w:rPr>
              <w:t>t/a、排放速率为0.1</w:t>
            </w:r>
            <w:r>
              <w:rPr>
                <w:rFonts w:hint="default" w:ascii="Times New Roman" w:hAnsi="Times New Roman" w:cs="Times New Roman"/>
                <w:b w:val="0"/>
                <w:bCs/>
                <w:smallCaps w:val="0"/>
                <w:color w:val="auto"/>
                <w:kern w:val="2"/>
                <w:sz w:val="24"/>
                <w:szCs w:val="24"/>
                <w:highlight w:val="none"/>
                <w:vertAlign w:val="baseline"/>
                <w:lang w:val="en-US" w:eastAsia="zh-CN" w:bidi="ar-SA"/>
              </w:rPr>
              <w:t>35</w:t>
            </w:r>
            <w:r>
              <w:rPr>
                <w:rFonts w:hint="default" w:ascii="Times New Roman" w:hAnsi="Times New Roman" w:eastAsia="宋体" w:cs="Times New Roman"/>
                <w:b w:val="0"/>
                <w:bCs/>
                <w:smallCaps w:val="0"/>
                <w:color w:val="auto"/>
                <w:kern w:val="2"/>
                <w:sz w:val="24"/>
                <w:szCs w:val="24"/>
                <w:highlight w:val="none"/>
                <w:vertAlign w:val="baseline"/>
                <w:lang w:val="en-US" w:eastAsia="zh-CN" w:bidi="ar-SA"/>
              </w:rPr>
              <w:t>kg/h，采取生产车间门窗封闭，可有效降低无组织废气对周围环境的污染，</w:t>
            </w:r>
            <w:r>
              <w:rPr>
                <w:rFonts w:hint="default" w:ascii="Times New Roman" w:hAnsi="Times New Roman" w:eastAsia="宋体" w:cs="Times New Roman"/>
                <w:b w:val="0"/>
                <w:bCs/>
                <w:color w:val="auto"/>
                <w:sz w:val="24"/>
                <w:szCs w:val="24"/>
                <w:lang w:val="en-US" w:eastAsia="zh-CN"/>
              </w:rPr>
              <w:t>牡</w:t>
            </w:r>
            <w:r>
              <w:rPr>
                <w:rFonts w:hint="eastAsia" w:ascii="宋体" w:hAnsi="宋体" w:eastAsia="宋体" w:cs="宋体"/>
                <w:b w:val="0"/>
                <w:bCs/>
                <w:color w:val="auto"/>
                <w:sz w:val="24"/>
                <w:szCs w:val="24"/>
                <w:lang w:val="en-US" w:eastAsia="zh-CN"/>
              </w:rPr>
              <w:t>丹江地区的常年主导风向为西风，</w:t>
            </w:r>
            <w:r>
              <w:rPr>
                <w:rFonts w:hint="eastAsia" w:ascii="宋体" w:hAnsi="宋体" w:cs="宋体"/>
                <w:b w:val="0"/>
                <w:bCs/>
                <w:color w:val="auto"/>
                <w:sz w:val="24"/>
                <w:szCs w:val="24"/>
                <w:lang w:val="en-US" w:eastAsia="zh-CN"/>
              </w:rPr>
              <w:t>周围</w:t>
            </w:r>
            <w:r>
              <w:rPr>
                <w:rFonts w:hint="eastAsia" w:ascii="宋体" w:hAnsi="宋体" w:eastAsia="宋体" w:cs="宋体"/>
                <w:b w:val="0"/>
                <w:bCs/>
                <w:color w:val="auto"/>
                <w:sz w:val="24"/>
                <w:szCs w:val="24"/>
                <w:lang w:val="en-US" w:eastAsia="zh-CN"/>
              </w:rPr>
              <w:t>居民区</w:t>
            </w:r>
            <w:r>
              <w:rPr>
                <w:rFonts w:hint="eastAsia" w:ascii="宋体" w:hAnsi="宋体" w:cs="宋体"/>
                <w:b w:val="0"/>
                <w:bCs/>
                <w:color w:val="auto"/>
                <w:sz w:val="24"/>
                <w:szCs w:val="24"/>
                <w:lang w:val="en-US" w:eastAsia="zh-CN"/>
              </w:rPr>
              <w:t>存在</w:t>
            </w:r>
            <w:r>
              <w:rPr>
                <w:rFonts w:hint="eastAsia" w:ascii="宋体" w:hAnsi="宋体" w:eastAsia="宋体" w:cs="宋体"/>
                <w:b w:val="0"/>
                <w:bCs/>
                <w:color w:val="auto"/>
                <w:sz w:val="24"/>
                <w:szCs w:val="24"/>
                <w:lang w:val="en-US" w:eastAsia="zh-CN"/>
              </w:rPr>
              <w:t>位于本项目厂区</w:t>
            </w:r>
            <w:r>
              <w:rPr>
                <w:rFonts w:hint="eastAsia" w:ascii="宋体" w:hAnsi="宋体" w:cs="宋体"/>
                <w:b w:val="0"/>
                <w:bCs/>
                <w:color w:val="auto"/>
                <w:sz w:val="24"/>
                <w:szCs w:val="24"/>
                <w:lang w:val="en-US" w:eastAsia="zh-CN"/>
              </w:rPr>
              <w:t>下</w:t>
            </w:r>
            <w:r>
              <w:rPr>
                <w:rFonts w:hint="eastAsia" w:ascii="宋体" w:hAnsi="宋体" w:eastAsia="宋体" w:cs="宋体"/>
                <w:b w:val="0"/>
                <w:bCs/>
                <w:color w:val="auto"/>
                <w:sz w:val="24"/>
                <w:szCs w:val="24"/>
                <w:lang w:val="en-US" w:eastAsia="zh-CN"/>
              </w:rPr>
              <w:t>风向</w:t>
            </w:r>
            <w:r>
              <w:rPr>
                <w:rFonts w:hint="eastAsia" w:ascii="宋体" w:hAnsi="宋体" w:cs="宋体"/>
                <w:b w:val="0"/>
                <w:bCs/>
                <w:color w:val="auto"/>
                <w:sz w:val="24"/>
                <w:szCs w:val="24"/>
                <w:lang w:val="en-US" w:eastAsia="zh-CN"/>
              </w:rPr>
              <w:t>及侧风向</w:t>
            </w:r>
            <w:r>
              <w:rPr>
                <w:rFonts w:hint="eastAsia" w:ascii="宋体" w:hAnsi="宋体" w:eastAsia="宋体" w:cs="宋体"/>
                <w:b w:val="0"/>
                <w:bCs/>
                <w:color w:val="auto"/>
                <w:sz w:val="24"/>
                <w:szCs w:val="24"/>
                <w:lang w:val="en-US" w:eastAsia="zh-CN"/>
              </w:rPr>
              <w:t>，依据《环境影响评价技术导则-大气环境》(HJ2.2-2018)中5.3节工作等级的确定方法，结合项目工程分析结果，选择正常排放的主要污染物及排放参数，采用附录A推荐模型中的AERSCREEN模式计算大气环境影响评价工作等级，计算项目污染源的最大环境影响。</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ascii="Times New Roman" w:hAnsi="Times New Roman" w:eastAsia="宋体" w:cs="Times New Roman"/>
                <w:b/>
                <w:bCs w:val="0"/>
                <w:color w:val="auto"/>
                <w:sz w:val="24"/>
                <w:szCs w:val="24"/>
                <w:lang w:val="en-US" w:eastAsia="zh-CN"/>
              </w:rPr>
              <w:t>4-3</w:t>
            </w:r>
            <w:r>
              <w:rPr>
                <w:rFonts w:hint="default" w:ascii="Times New Roman" w:hAnsi="Times New Roman" w:eastAsia="宋体" w:cs="Times New Roman"/>
                <w:b/>
                <w:bCs w:val="0"/>
                <w:color w:val="auto"/>
                <w:sz w:val="24"/>
                <w:szCs w:val="24"/>
                <w:lang w:val="en-US" w:eastAsia="zh-CN"/>
              </w:rPr>
              <w:t xml:space="preserve"> 估算模型参数表</w:t>
            </w:r>
          </w:p>
          <w:tbl>
            <w:tblPr>
              <w:tblStyle w:val="22"/>
              <w:tblW w:w="805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
            <w:tblGrid>
              <w:gridCol w:w="2240"/>
              <w:gridCol w:w="2987"/>
              <w:gridCol w:w="28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16" w:hRule="atLeast"/>
              </w:trPr>
              <w:tc>
                <w:tcPr>
                  <w:tcW w:w="5227" w:type="dxa"/>
                  <w:gridSpan w:val="2"/>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ascii="黑体" w:hAnsi="黑体" w:eastAsia="黑体"/>
                      <w:sz w:val="21"/>
                      <w:szCs w:val="20"/>
                    </w:rPr>
                  </w:pPr>
                  <w:r>
                    <w:rPr>
                      <w:rFonts w:hint="default" w:ascii="黑体" w:hAnsi="黑体" w:eastAsia="黑体"/>
                      <w:kern w:val="0"/>
                      <w:sz w:val="21"/>
                      <w:szCs w:val="20"/>
                    </w:rPr>
                    <w:t>参数</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ascii="黑体" w:hAnsi="黑体" w:eastAsia="黑体"/>
                      <w:sz w:val="21"/>
                      <w:szCs w:val="20"/>
                    </w:rPr>
                  </w:pPr>
                  <w:r>
                    <w:rPr>
                      <w:rFonts w:hint="default" w:ascii="黑体" w:hAnsi="黑体" w:eastAsia="黑体"/>
                      <w:kern w:val="0"/>
                      <w:sz w:val="21"/>
                      <w:szCs w:val="20"/>
                    </w:rPr>
                    <w:t>取值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2240" w:type="dxa"/>
                  <w:vMerge w:val="restart"/>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城市/农村选项</w:t>
                  </w: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城市/农村</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eastAsia" w:eastAsia="宋体"/>
                      <w:sz w:val="21"/>
                      <w:szCs w:val="20"/>
                      <w:lang w:eastAsia="zh-CN"/>
                    </w:rPr>
                  </w:pPr>
                  <w:r>
                    <w:rPr>
                      <w:rFonts w:hint="eastAsia"/>
                      <w:sz w:val="21"/>
                      <w:szCs w:val="20"/>
                      <w:lang w:val="en-US" w:eastAsia="zh-CN"/>
                    </w:rPr>
                    <w:t>农村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2240" w:type="dxa"/>
                  <w:vMerge w:val="continue"/>
                  <w:shd w:val="clear" w:color="auto" w:fill="auto"/>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人口数（城市选项时）</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eastAsia" w:eastAsia="宋体"/>
                      <w:sz w:val="21"/>
                      <w:szCs w:val="20"/>
                      <w:lang w:eastAsia="zh-CN"/>
                    </w:rPr>
                  </w:pPr>
                  <w:r>
                    <w:rPr>
                      <w:rFonts w:hint="eastAsia"/>
                      <w:sz w:val="21"/>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92" w:hRule="atLeast"/>
              </w:trPr>
              <w:tc>
                <w:tcPr>
                  <w:tcW w:w="5227" w:type="dxa"/>
                  <w:gridSpan w:val="2"/>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最高环境温度/℃</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35.7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5227" w:type="dxa"/>
                  <w:gridSpan w:val="2"/>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最低环境温度/℃</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eastAsia"/>
                      <w:sz w:val="21"/>
                      <w:szCs w:val="20"/>
                    </w:rPr>
                    <w:t>-4</w:t>
                  </w:r>
                  <w:r>
                    <w:rPr>
                      <w:rFonts w:hint="eastAsia"/>
                      <w:sz w:val="21"/>
                      <w:szCs w:val="20"/>
                      <w:lang w:val="en-US" w:eastAsia="zh-CN"/>
                    </w:rPr>
                    <w:t>1</w:t>
                  </w:r>
                  <w:r>
                    <w:rPr>
                      <w:rFonts w:hint="eastAsia"/>
                      <w:sz w:val="21"/>
                      <w:szCs w:val="20"/>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90" w:hRule="atLeast"/>
              </w:trPr>
              <w:tc>
                <w:tcPr>
                  <w:tcW w:w="5227" w:type="dxa"/>
                  <w:gridSpan w:val="2"/>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土地利用类型</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eastAsia"/>
                      <w:sz w:val="21"/>
                      <w:szCs w:val="20"/>
                      <w:lang w:val="en-US" w:eastAsia="zh-CN"/>
                    </w:rPr>
                    <w:t>工业</w:t>
                  </w:r>
                  <w:r>
                    <w:rPr>
                      <w:rFonts w:hint="eastAsia"/>
                      <w:sz w:val="21"/>
                      <w:szCs w:val="20"/>
                    </w:rPr>
                    <w:t>用地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16" w:hRule="atLeast"/>
              </w:trPr>
              <w:tc>
                <w:tcPr>
                  <w:tcW w:w="5227" w:type="dxa"/>
                  <w:gridSpan w:val="2"/>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区域湿度条件</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eastAsia"/>
                      <w:sz w:val="21"/>
                      <w:szCs w:val="20"/>
                    </w:rPr>
                    <w:t>湿润区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90" w:hRule="atLeast"/>
              </w:trPr>
              <w:tc>
                <w:tcPr>
                  <w:tcW w:w="2240" w:type="dxa"/>
                  <w:vMerge w:val="restart"/>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是否考虑地形</w:t>
                  </w: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sz w:val="21"/>
                      <w:szCs w:val="20"/>
                    </w:rPr>
                    <w:t>考虑地形</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□是</w:t>
                  </w:r>
                  <w:r>
                    <w:rPr>
                      <w:rFonts w:hint="default"/>
                      <w:sz w:val="18"/>
                      <w:szCs w:val="18"/>
                    </w:rPr>
                    <w:sym w:font="Wingdings" w:char="F0FE"/>
                  </w:r>
                  <w:r>
                    <w:rPr>
                      <w:rFonts w:hint="default"/>
                      <w:sz w:val="21"/>
                      <w:szCs w:val="20"/>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2240" w:type="dxa"/>
                  <w:vMerge w:val="continue"/>
                  <w:shd w:val="clear" w:color="auto" w:fill="auto"/>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kern w:val="0"/>
                      <w:sz w:val="21"/>
                      <w:szCs w:val="20"/>
                    </w:rPr>
                  </w:pPr>
                  <w:r>
                    <w:rPr>
                      <w:rFonts w:hint="default"/>
                      <w:kern w:val="0"/>
                      <w:sz w:val="21"/>
                      <w:szCs w:val="20"/>
                    </w:rPr>
                    <w:t>地形数据分辨率/m</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90" w:hRule="atLeast"/>
              </w:trPr>
              <w:tc>
                <w:tcPr>
                  <w:tcW w:w="2240" w:type="dxa"/>
                  <w:vMerge w:val="restart"/>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kern w:val="0"/>
                      <w:sz w:val="21"/>
                      <w:szCs w:val="20"/>
                    </w:rPr>
                    <w:t>是否考虑海岸线熏烟</w:t>
                  </w: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sz w:val="21"/>
                      <w:szCs w:val="20"/>
                    </w:rPr>
                    <w:t>考虑岸线熏烟</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□是</w:t>
                  </w:r>
                  <w:r>
                    <w:rPr>
                      <w:rFonts w:hint="default"/>
                      <w:sz w:val="18"/>
                      <w:szCs w:val="18"/>
                    </w:rPr>
                    <w:sym w:font="Wingdings" w:char="F0FE"/>
                  </w:r>
                  <w:r>
                    <w:rPr>
                      <w:rFonts w:hint="default"/>
                      <w:sz w:val="21"/>
                      <w:szCs w:val="20"/>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2240" w:type="dxa"/>
                  <w:vMerge w:val="continue"/>
                  <w:shd w:val="clear" w:color="auto" w:fill="auto"/>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岸线距离/km</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rHeight w:val="301" w:hRule="atLeast"/>
              </w:trPr>
              <w:tc>
                <w:tcPr>
                  <w:tcW w:w="2240" w:type="dxa"/>
                  <w:vMerge w:val="continue"/>
                  <w:shd w:val="clear" w:color="auto" w:fill="auto"/>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p>
              </w:tc>
              <w:tc>
                <w:tcPr>
                  <w:tcW w:w="2987" w:type="dxa"/>
                  <w:shd w:val="clear" w:color="auto" w:fill="FFFFFF"/>
                  <w:vAlign w:val="center"/>
                </w:tcPr>
                <w:p>
                  <w:pPr>
                    <w:keepNext w:val="0"/>
                    <w:keepLines w:val="0"/>
                    <w:suppressLineNumbers w:val="0"/>
                    <w:spacing w:before="0" w:beforeAutospacing="0" w:after="0" w:afterAutospacing="0" w:line="360" w:lineRule="auto"/>
                    <w:ind w:left="0" w:right="0" w:firstLine="400" w:firstLineChars="0"/>
                    <w:jc w:val="center"/>
                    <w:rPr>
                      <w:rFonts w:hint="default"/>
                      <w:sz w:val="21"/>
                      <w:szCs w:val="20"/>
                    </w:rPr>
                  </w:pPr>
                  <w:r>
                    <w:rPr>
                      <w:rFonts w:hint="default"/>
                      <w:kern w:val="0"/>
                      <w:sz w:val="21"/>
                      <w:szCs w:val="20"/>
                    </w:rPr>
                    <w:t>岸线方向/°</w:t>
                  </w:r>
                </w:p>
              </w:tc>
              <w:tc>
                <w:tcPr>
                  <w:tcW w:w="2825" w:type="dxa"/>
                  <w:shd w:val="clear" w:color="auto" w:fill="FFFFFF"/>
                  <w:vAlign w:val="center"/>
                </w:tcPr>
                <w:p>
                  <w:pPr>
                    <w:keepNext w:val="0"/>
                    <w:keepLines w:val="0"/>
                    <w:suppressLineNumbers w:val="0"/>
                    <w:spacing w:before="0" w:beforeAutospacing="0" w:after="0" w:afterAutospacing="0" w:line="360" w:lineRule="auto"/>
                    <w:ind w:left="0" w:right="0" w:firstLine="0" w:firstLineChars="0"/>
                    <w:jc w:val="center"/>
                    <w:rPr>
                      <w:rFonts w:hint="default"/>
                      <w:sz w:val="21"/>
                      <w:szCs w:val="20"/>
                    </w:rPr>
                  </w:pPr>
                  <w:r>
                    <w:rPr>
                      <w:rFonts w:hint="default"/>
                      <w:sz w:val="21"/>
                      <w:szCs w:val="20"/>
                    </w:rPr>
                    <w:t>/</w:t>
                  </w:r>
                </w:p>
              </w:tc>
            </w:tr>
          </w:tbl>
          <w:p>
            <w:pPr>
              <w:pStyle w:val="54"/>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表4-4废气污染源参数一览表（矩形面源）</w:t>
            </w:r>
          </w:p>
          <w:tbl>
            <w:tblPr>
              <w:tblStyle w:val="22"/>
              <w:tblW w:w="80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520"/>
              <w:gridCol w:w="1014"/>
              <w:gridCol w:w="864"/>
              <w:gridCol w:w="763"/>
              <w:gridCol w:w="534"/>
              <w:gridCol w:w="432"/>
              <w:gridCol w:w="636"/>
              <w:gridCol w:w="555"/>
              <w:gridCol w:w="660"/>
              <w:gridCol w:w="426"/>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jc w:val="center"/>
              </w:trPr>
              <w:tc>
                <w:tcPr>
                  <w:tcW w:w="425" w:type="dxa"/>
                  <w:vMerge w:val="restar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编号</w:t>
                  </w:r>
                </w:p>
              </w:tc>
              <w:tc>
                <w:tcPr>
                  <w:tcW w:w="520" w:type="dxa"/>
                  <w:vMerge w:val="restart"/>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名称</w:t>
                  </w:r>
                </w:p>
              </w:tc>
              <w:tc>
                <w:tcPr>
                  <w:tcW w:w="18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面源起点坐标</w:t>
                  </w:r>
                  <w:r>
                    <w:rPr>
                      <w:rFonts w:hint="eastAsia"/>
                      <w:sz w:val="20"/>
                      <w:szCs w:val="18"/>
                    </w:rPr>
                    <w:t>/m</w:t>
                  </w:r>
                </w:p>
              </w:tc>
              <w:tc>
                <w:tcPr>
                  <w:tcW w:w="7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海拔高度/m</w:t>
                  </w:r>
                </w:p>
              </w:tc>
              <w:tc>
                <w:tcPr>
                  <w:tcW w:w="53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长度/m</w:t>
                  </w:r>
                </w:p>
              </w:tc>
              <w:tc>
                <w:tcPr>
                  <w:tcW w:w="43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宽度/m</w:t>
                  </w:r>
                </w:p>
              </w:tc>
              <w:tc>
                <w:tcPr>
                  <w:tcW w:w="636" w:type="dxa"/>
                  <w:vMerge w:val="restar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与正北向夹角/°</w:t>
                  </w:r>
                </w:p>
              </w:tc>
              <w:tc>
                <w:tcPr>
                  <w:tcW w:w="5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有效排放高度/m</w:t>
                  </w:r>
                </w:p>
              </w:tc>
              <w:tc>
                <w:tcPr>
                  <w:tcW w:w="66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年排放小时数/h</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排放工况</w:t>
                  </w:r>
                </w:p>
              </w:tc>
              <w:tc>
                <w:tcPr>
                  <w:tcW w:w="12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default"/>
                      <w:sz w:val="20"/>
                      <w:szCs w:val="18"/>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425" w:type="dxa"/>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520" w:type="dxa"/>
                  <w:vMerge w:val="continue"/>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eastAsia"/>
                      <w:sz w:val="20"/>
                      <w:szCs w:val="18"/>
                    </w:rPr>
                    <w:t>X</w:t>
                  </w:r>
                </w:p>
              </w:tc>
              <w:tc>
                <w:tcPr>
                  <w:tcW w:w="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r>
                    <w:rPr>
                      <w:rFonts w:hint="eastAsia"/>
                      <w:sz w:val="20"/>
                      <w:szCs w:val="18"/>
                    </w:rPr>
                    <w:t>Y</w:t>
                  </w:r>
                </w:p>
              </w:tc>
              <w:tc>
                <w:tcPr>
                  <w:tcW w:w="7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53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43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636" w:type="dxa"/>
                  <w:vMerge w:val="continue"/>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55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66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sz w:val="20"/>
                      <w:szCs w:val="18"/>
                    </w:rPr>
                  </w:pPr>
                </w:p>
              </w:tc>
              <w:tc>
                <w:tcPr>
                  <w:tcW w:w="12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eastAsia="宋体"/>
                      <w:sz w:val="20"/>
                      <w:szCs w:val="18"/>
                      <w:lang w:val="en-US" w:eastAsia="zh-CN"/>
                    </w:rPr>
                  </w:pPr>
                  <w:r>
                    <w:rPr>
                      <w:rFonts w:hint="eastAsia"/>
                      <w:sz w:val="20"/>
                      <w:szCs w:val="18"/>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425" w:type="dxa"/>
                  <w:tcBorders>
                    <w:top w:val="single" w:color="auto" w:sz="4" w:space="0"/>
                    <w:left w:val="single" w:color="auto" w:sz="4" w:space="0"/>
                    <w:bottom w:val="single" w:color="auto" w:sz="4" w:space="0"/>
                    <w:right w:val="single" w:color="000000" w:sz="4" w:space="0"/>
                  </w:tcBorders>
                  <w:vAlign w:val="center"/>
                </w:tcPr>
                <w:p>
                  <w:pPr>
                    <w:pStyle w:val="55"/>
                    <w:keepNext w:val="0"/>
                    <w:keepLines w:val="0"/>
                    <w:suppressLineNumbers w:val="0"/>
                    <w:spacing w:beforeAutospacing="0" w:afterAutospacing="0" w:line="360" w:lineRule="auto"/>
                    <w:ind w:left="0"/>
                    <w:rPr>
                      <w:rFonts w:hint="default"/>
                      <w:sz w:val="20"/>
                      <w:szCs w:val="18"/>
                    </w:rPr>
                  </w:pPr>
                  <w:r>
                    <w:rPr>
                      <w:rFonts w:hint="default"/>
                      <w:sz w:val="20"/>
                      <w:szCs w:val="18"/>
                    </w:rPr>
                    <w:t>1</w:t>
                  </w:r>
                </w:p>
              </w:tc>
              <w:tc>
                <w:tcPr>
                  <w:tcW w:w="520" w:type="dxa"/>
                  <w:tcBorders>
                    <w:top w:val="single" w:color="auto" w:sz="4" w:space="0"/>
                    <w:left w:val="single" w:color="000000"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sz w:val="20"/>
                      <w:szCs w:val="18"/>
                    </w:rPr>
                  </w:pPr>
                  <w:r>
                    <w:rPr>
                      <w:rFonts w:hint="eastAsia"/>
                      <w:sz w:val="20"/>
                      <w:szCs w:val="18"/>
                      <w:lang w:val="en-US" w:eastAsia="zh-CN"/>
                    </w:rPr>
                    <w:t>生产</w:t>
                  </w:r>
                  <w:r>
                    <w:rPr>
                      <w:rFonts w:hint="eastAsia"/>
                      <w:sz w:val="20"/>
                      <w:szCs w:val="18"/>
                    </w:rPr>
                    <w:t>车间</w:t>
                  </w:r>
                </w:p>
              </w:tc>
              <w:tc>
                <w:tcPr>
                  <w:tcW w:w="1014"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20"/>
                      <w:lang w:val="en-US" w:eastAsia="zh-CN"/>
                    </w:rPr>
                  </w:pPr>
                  <w:r>
                    <w:rPr>
                      <w:rFonts w:hint="default" w:eastAsia="宋体"/>
                      <w:sz w:val="20"/>
                      <w:szCs w:val="20"/>
                      <w:lang w:val="en-US" w:eastAsia="zh-CN"/>
                    </w:rPr>
                    <w:t>129°13′19.651″</w:t>
                  </w:r>
                </w:p>
              </w:tc>
              <w:tc>
                <w:tcPr>
                  <w:tcW w:w="864"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20"/>
                      <w:lang w:val="en-US" w:eastAsia="zh-CN"/>
                    </w:rPr>
                  </w:pPr>
                  <w:r>
                    <w:rPr>
                      <w:rFonts w:hint="default" w:eastAsia="宋体"/>
                      <w:sz w:val="20"/>
                      <w:szCs w:val="20"/>
                      <w:lang w:val="en-US" w:eastAsia="zh-CN"/>
                    </w:rPr>
                    <w:t>44°7′20.205″</w:t>
                  </w:r>
                </w:p>
              </w:tc>
              <w:tc>
                <w:tcPr>
                  <w:tcW w:w="763"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18"/>
                      <w:lang w:val="en-US" w:eastAsia="zh-CN"/>
                    </w:rPr>
                  </w:pPr>
                  <w:r>
                    <w:rPr>
                      <w:rFonts w:hint="eastAsia"/>
                      <w:sz w:val="20"/>
                      <w:szCs w:val="18"/>
                      <w:lang w:val="en-US" w:eastAsia="zh-CN"/>
                    </w:rPr>
                    <w:t>284</w:t>
                  </w:r>
                </w:p>
              </w:tc>
              <w:tc>
                <w:tcPr>
                  <w:tcW w:w="534"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18"/>
                      <w:lang w:val="en-US" w:eastAsia="zh-CN"/>
                    </w:rPr>
                  </w:pPr>
                  <w:r>
                    <w:rPr>
                      <w:rFonts w:hint="eastAsia"/>
                      <w:sz w:val="20"/>
                      <w:szCs w:val="18"/>
                      <w:lang w:val="en-US" w:eastAsia="zh-CN"/>
                    </w:rPr>
                    <w:t>15</w:t>
                  </w:r>
                </w:p>
              </w:tc>
              <w:tc>
                <w:tcPr>
                  <w:tcW w:w="432"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18"/>
                      <w:lang w:val="en-US" w:eastAsia="zh-CN"/>
                    </w:rPr>
                  </w:pPr>
                  <w:r>
                    <w:rPr>
                      <w:rFonts w:hint="eastAsia"/>
                      <w:sz w:val="20"/>
                      <w:szCs w:val="18"/>
                      <w:lang w:val="en-US" w:eastAsia="zh-CN"/>
                    </w:rPr>
                    <w:t>25.8</w:t>
                  </w:r>
                </w:p>
              </w:tc>
              <w:tc>
                <w:tcPr>
                  <w:tcW w:w="636"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sz w:val="20"/>
                      <w:szCs w:val="18"/>
                    </w:rPr>
                  </w:pPr>
                  <w:r>
                    <w:rPr>
                      <w:rFonts w:hint="eastAsia"/>
                      <w:sz w:val="20"/>
                      <w:szCs w:val="18"/>
                    </w:rPr>
                    <w:t>/</w:t>
                  </w:r>
                </w:p>
              </w:tc>
              <w:tc>
                <w:tcPr>
                  <w:tcW w:w="555"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eastAsia" w:eastAsia="宋体"/>
                      <w:sz w:val="20"/>
                      <w:szCs w:val="18"/>
                      <w:lang w:eastAsia="zh-CN"/>
                    </w:rPr>
                  </w:pPr>
                  <w:r>
                    <w:rPr>
                      <w:rFonts w:hint="eastAsia"/>
                      <w:sz w:val="20"/>
                      <w:szCs w:val="18"/>
                      <w:lang w:val="en-US" w:eastAsia="zh-CN"/>
                    </w:rPr>
                    <w:t>4</w:t>
                  </w:r>
                </w:p>
              </w:tc>
              <w:tc>
                <w:tcPr>
                  <w:tcW w:w="660"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18"/>
                      <w:lang w:val="en-US" w:eastAsia="zh-CN"/>
                    </w:rPr>
                  </w:pPr>
                  <w:r>
                    <w:rPr>
                      <w:rFonts w:hint="eastAsia"/>
                      <w:sz w:val="20"/>
                      <w:szCs w:val="18"/>
                      <w:lang w:val="en-US" w:eastAsia="zh-CN"/>
                    </w:rPr>
                    <w:t>800</w:t>
                  </w:r>
                </w:p>
              </w:tc>
              <w:tc>
                <w:tcPr>
                  <w:tcW w:w="426"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sz w:val="20"/>
                      <w:szCs w:val="18"/>
                    </w:rPr>
                  </w:pPr>
                  <w:r>
                    <w:rPr>
                      <w:rFonts w:hint="default"/>
                      <w:sz w:val="20"/>
                      <w:szCs w:val="18"/>
                    </w:rPr>
                    <w:t>连续</w:t>
                  </w:r>
                </w:p>
              </w:tc>
              <w:tc>
                <w:tcPr>
                  <w:tcW w:w="1223" w:type="dxa"/>
                  <w:tcBorders>
                    <w:top w:val="single" w:color="auto" w:sz="4" w:space="0"/>
                    <w:left w:val="single" w:color="auto" w:sz="4" w:space="0"/>
                    <w:bottom w:val="single" w:color="auto" w:sz="4" w:space="0"/>
                    <w:right w:val="single" w:color="auto" w:sz="4" w:space="0"/>
                  </w:tcBorders>
                  <w:vAlign w:val="center"/>
                </w:tcPr>
                <w:p>
                  <w:pPr>
                    <w:pStyle w:val="55"/>
                    <w:keepNext w:val="0"/>
                    <w:keepLines w:val="0"/>
                    <w:suppressLineNumbers w:val="0"/>
                    <w:spacing w:beforeAutospacing="0" w:afterAutospacing="0" w:line="360" w:lineRule="auto"/>
                    <w:ind w:left="0"/>
                    <w:rPr>
                      <w:rFonts w:hint="default" w:eastAsia="宋体"/>
                      <w:sz w:val="20"/>
                      <w:szCs w:val="18"/>
                      <w:lang w:val="en-US" w:eastAsia="zh-CN"/>
                    </w:rPr>
                  </w:pPr>
                  <w:r>
                    <w:rPr>
                      <w:rFonts w:hint="eastAsia"/>
                      <w:sz w:val="20"/>
                      <w:szCs w:val="18"/>
                      <w:lang w:val="en-US" w:eastAsia="zh-CN"/>
                    </w:rPr>
                    <w:t>0.135</w:t>
                  </w:r>
                </w:p>
              </w:tc>
            </w:tr>
          </w:tbl>
          <w:p>
            <w:pPr>
              <w:keepNext w:val="0"/>
              <w:keepLines w:val="0"/>
              <w:suppressLineNumbers w:val="0"/>
              <w:spacing w:before="0" w:beforeAutospacing="0" w:after="0" w:afterAutospacing="0" w:line="360" w:lineRule="auto"/>
              <w:ind w:left="0" w:right="0" w:firstLine="482"/>
              <w:jc w:val="center"/>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表4-5主要废气污染源参数一览表(点源)</w:t>
            </w:r>
          </w:p>
          <w:tbl>
            <w:tblPr>
              <w:tblStyle w:val="22"/>
              <w:tblW w:w="8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393"/>
              <w:gridCol w:w="573"/>
              <w:gridCol w:w="663"/>
              <w:gridCol w:w="496"/>
              <w:gridCol w:w="712"/>
              <w:gridCol w:w="559"/>
              <w:gridCol w:w="788"/>
              <w:gridCol w:w="701"/>
              <w:gridCol w:w="713"/>
              <w:gridCol w:w="692"/>
              <w:gridCol w:w="393"/>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编号</w:t>
                  </w:r>
                </w:p>
              </w:tc>
              <w:tc>
                <w:tcPr>
                  <w:tcW w:w="966" w:type="dxa"/>
                  <w:gridSpan w:val="2"/>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名称</w:t>
                  </w:r>
                </w:p>
              </w:tc>
              <w:tc>
                <w:tcPr>
                  <w:tcW w:w="1159" w:type="dxa"/>
                  <w:gridSpan w:val="2"/>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排气筒底部中心坐标/m</w:t>
                  </w:r>
                </w:p>
              </w:tc>
              <w:tc>
                <w:tcPr>
                  <w:tcW w:w="712"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排气筒底部海拔高度/m</w:t>
                  </w:r>
                </w:p>
              </w:tc>
              <w:tc>
                <w:tcPr>
                  <w:tcW w:w="559"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排气筒高度/m</w:t>
                  </w:r>
                </w:p>
              </w:tc>
              <w:tc>
                <w:tcPr>
                  <w:tcW w:w="788"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排气筒出口内径/m</w:t>
                  </w:r>
                </w:p>
              </w:tc>
              <w:tc>
                <w:tcPr>
                  <w:tcW w:w="701"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烟气流速/（m</w:t>
                  </w:r>
                  <w:r>
                    <w:rPr>
                      <w:rFonts w:hint="eastAsia" w:ascii="宋体" w:hAnsi="宋体" w:cs="宋体"/>
                      <w:b w:val="0"/>
                      <w:bCs w:val="0"/>
                      <w:kern w:val="0"/>
                      <w:sz w:val="21"/>
                      <w:szCs w:val="21"/>
                      <w:vertAlign w:val="superscript"/>
                    </w:rPr>
                    <w:t>3</w:t>
                  </w:r>
                  <w:r>
                    <w:rPr>
                      <w:rFonts w:hint="eastAsia" w:ascii="宋体" w:hAnsi="宋体" w:cs="宋体"/>
                      <w:b w:val="0"/>
                      <w:bCs w:val="0"/>
                      <w:kern w:val="0"/>
                      <w:sz w:val="21"/>
                      <w:szCs w:val="21"/>
                    </w:rPr>
                    <w:t>/h）</w:t>
                  </w:r>
                </w:p>
              </w:tc>
              <w:tc>
                <w:tcPr>
                  <w:tcW w:w="713"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烟气温度/℃</w:t>
                  </w:r>
                </w:p>
              </w:tc>
              <w:tc>
                <w:tcPr>
                  <w:tcW w:w="692"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年排放小时数/h</w:t>
                  </w:r>
                </w:p>
              </w:tc>
              <w:tc>
                <w:tcPr>
                  <w:tcW w:w="393"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排放工况</w:t>
                  </w:r>
                </w:p>
              </w:tc>
              <w:tc>
                <w:tcPr>
                  <w:tcW w:w="976" w:type="dxa"/>
                  <w:vMerge w:val="restart"/>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ascii="宋体" w:hAnsi="宋体" w:cs="宋体"/>
                      <w:b w:val="0"/>
                      <w:bCs w:val="0"/>
                      <w:kern w:val="0"/>
                      <w:sz w:val="21"/>
                      <w:szCs w:val="21"/>
                    </w:rPr>
                  </w:pPr>
                  <w:r>
                    <w:rPr>
                      <w:rFonts w:hint="eastAsia" w:ascii="宋体" w:hAnsi="宋体" w:cs="宋体"/>
                      <w:b w:val="0"/>
                      <w:bCs w:val="0"/>
                      <w:kern w:val="0"/>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966" w:type="dxa"/>
                  <w:gridSpan w:val="2"/>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66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b w:val="0"/>
                      <w:bCs w:val="0"/>
                      <w:kern w:val="0"/>
                      <w:sz w:val="21"/>
                      <w:szCs w:val="21"/>
                    </w:rPr>
                  </w:pPr>
                  <w:r>
                    <w:rPr>
                      <w:rFonts w:hint="eastAsia"/>
                      <w:b w:val="0"/>
                      <w:bCs w:val="0"/>
                      <w:kern w:val="0"/>
                      <w:sz w:val="21"/>
                      <w:szCs w:val="21"/>
                    </w:rPr>
                    <w:t>X</w:t>
                  </w:r>
                </w:p>
              </w:tc>
              <w:tc>
                <w:tcPr>
                  <w:tcW w:w="496"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b w:val="0"/>
                      <w:bCs w:val="0"/>
                      <w:kern w:val="0"/>
                      <w:sz w:val="21"/>
                      <w:szCs w:val="21"/>
                    </w:rPr>
                  </w:pPr>
                  <w:r>
                    <w:rPr>
                      <w:rFonts w:hint="eastAsia"/>
                      <w:b w:val="0"/>
                      <w:bCs w:val="0"/>
                      <w:kern w:val="0"/>
                      <w:sz w:val="21"/>
                      <w:szCs w:val="21"/>
                    </w:rPr>
                    <w:t>Y</w:t>
                  </w:r>
                </w:p>
              </w:tc>
              <w:tc>
                <w:tcPr>
                  <w:tcW w:w="712"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559"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788"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701"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713"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692"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393"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c>
                <w:tcPr>
                  <w:tcW w:w="976" w:type="dxa"/>
                  <w:vMerge w:val="continue"/>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eastAsia" w:eastAsia="宋体"/>
                      <w:kern w:val="0"/>
                      <w:sz w:val="21"/>
                      <w:szCs w:val="21"/>
                      <w:lang w:eastAsia="zh-CN"/>
                    </w:rPr>
                  </w:pPr>
                  <w:r>
                    <w:rPr>
                      <w:rFonts w:hint="eastAsia"/>
                      <w:kern w:val="0"/>
                      <w:sz w:val="21"/>
                      <w:szCs w:val="21"/>
                      <w:lang w:val="en-US" w:eastAsia="zh-CN"/>
                    </w:rPr>
                    <w:t>1</w:t>
                  </w:r>
                </w:p>
              </w:tc>
              <w:tc>
                <w:tcPr>
                  <w:tcW w:w="39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lang w:val="en-US" w:eastAsia="zh-CN"/>
                    </w:rPr>
                    <w:t>生产</w:t>
                  </w:r>
                  <w:r>
                    <w:rPr>
                      <w:rFonts w:hint="eastAsia"/>
                      <w:kern w:val="0"/>
                      <w:sz w:val="21"/>
                      <w:szCs w:val="21"/>
                    </w:rPr>
                    <w:t>车间</w:t>
                  </w:r>
                </w:p>
              </w:tc>
              <w:tc>
                <w:tcPr>
                  <w:tcW w:w="57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sz w:val="20"/>
                      <w:szCs w:val="18"/>
                      <w:lang w:val="en-US" w:eastAsia="zh-CN"/>
                    </w:rPr>
                    <w:t>VOCs</w:t>
                  </w:r>
                </w:p>
              </w:tc>
              <w:tc>
                <w:tcPr>
                  <w:tcW w:w="66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129°13′19.216″</w:t>
                  </w:r>
                </w:p>
              </w:tc>
              <w:tc>
                <w:tcPr>
                  <w:tcW w:w="496"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44°7′19.645″</w:t>
                  </w:r>
                </w:p>
              </w:tc>
              <w:tc>
                <w:tcPr>
                  <w:tcW w:w="712"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284</w:t>
                  </w:r>
                </w:p>
              </w:tc>
              <w:tc>
                <w:tcPr>
                  <w:tcW w:w="559"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1</w:t>
                  </w:r>
                  <w:r>
                    <w:rPr>
                      <w:rFonts w:hint="default"/>
                      <w:kern w:val="0"/>
                      <w:sz w:val="21"/>
                      <w:szCs w:val="21"/>
                    </w:rPr>
                    <w:t>5</w:t>
                  </w:r>
                </w:p>
              </w:tc>
              <w:tc>
                <w:tcPr>
                  <w:tcW w:w="788"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0</w:t>
                  </w:r>
                  <w:r>
                    <w:rPr>
                      <w:rFonts w:hint="default"/>
                      <w:kern w:val="0"/>
                      <w:sz w:val="21"/>
                      <w:szCs w:val="21"/>
                    </w:rPr>
                    <w:t>.3</w:t>
                  </w:r>
                </w:p>
              </w:tc>
              <w:tc>
                <w:tcPr>
                  <w:tcW w:w="701"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5975</w:t>
                  </w:r>
                </w:p>
              </w:tc>
              <w:tc>
                <w:tcPr>
                  <w:tcW w:w="71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2</w:t>
                  </w:r>
                  <w:r>
                    <w:rPr>
                      <w:rFonts w:hint="default"/>
                      <w:kern w:val="0"/>
                      <w:sz w:val="21"/>
                      <w:szCs w:val="21"/>
                    </w:rPr>
                    <w:t>0</w:t>
                  </w:r>
                </w:p>
              </w:tc>
              <w:tc>
                <w:tcPr>
                  <w:tcW w:w="692"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800</w:t>
                  </w:r>
                </w:p>
              </w:tc>
              <w:tc>
                <w:tcPr>
                  <w:tcW w:w="393" w:type="dxa"/>
                  <w:shd w:val="clear" w:color="auto" w:fill="auto"/>
                  <w:vAlign w:val="center"/>
                </w:tcPr>
                <w:p>
                  <w:pPr>
                    <w:keepNext w:val="0"/>
                    <w:keepLines w:val="0"/>
                    <w:suppressLineNumbers w:val="0"/>
                    <w:spacing w:before="0" w:beforeAutospacing="0" w:after="0" w:afterAutospacing="0" w:line="360" w:lineRule="auto"/>
                    <w:ind w:left="0" w:right="0" w:firstLine="0" w:firstLineChars="0"/>
                    <w:jc w:val="center"/>
                    <w:rPr>
                      <w:rFonts w:hint="default"/>
                      <w:kern w:val="0"/>
                      <w:sz w:val="21"/>
                      <w:szCs w:val="21"/>
                    </w:rPr>
                  </w:pPr>
                  <w:r>
                    <w:rPr>
                      <w:rFonts w:hint="eastAsia"/>
                      <w:kern w:val="0"/>
                      <w:sz w:val="21"/>
                      <w:szCs w:val="21"/>
                    </w:rPr>
                    <w:t>正常工况</w:t>
                  </w:r>
                </w:p>
              </w:tc>
              <w:tc>
                <w:tcPr>
                  <w:tcW w:w="976" w:type="dxa"/>
                  <w:shd w:val="clear" w:color="auto" w:fill="auto"/>
                  <w:vAlign w:val="center"/>
                </w:tcPr>
                <w:p>
                  <w:pPr>
                    <w:keepNext w:val="0"/>
                    <w:keepLines w:val="0"/>
                    <w:widowControl/>
                    <w:suppressLineNumbers w:val="0"/>
                    <w:spacing w:before="0" w:beforeAutospacing="0" w:after="0" w:afterAutospacing="0" w:line="360" w:lineRule="auto"/>
                    <w:ind w:left="0" w:right="0" w:firstLine="0" w:firstLineChars="0"/>
                    <w:jc w:val="center"/>
                    <w:textAlignment w:val="center"/>
                    <w:rPr>
                      <w:rFonts w:hint="default" w:hAnsi="Calibri" w:eastAsia="仿宋"/>
                      <w:color w:val="C00000"/>
                      <w:sz w:val="21"/>
                      <w:szCs w:val="21"/>
                      <w:lang w:val="en-US" w:eastAsia="zh-CN"/>
                    </w:rPr>
                  </w:pPr>
                  <w:r>
                    <w:rPr>
                      <w:rFonts w:hint="eastAsia" w:hAnsi="Calibri" w:eastAsia="仿宋"/>
                      <w:sz w:val="21"/>
                      <w:szCs w:val="21"/>
                    </w:rPr>
                    <w:t>0</w:t>
                  </w:r>
                  <w:r>
                    <w:rPr>
                      <w:rFonts w:hint="eastAsia" w:hAnsi="Calibri" w:eastAsia="仿宋"/>
                      <w:sz w:val="21"/>
                      <w:szCs w:val="21"/>
                      <w:lang w:val="en-US" w:eastAsia="zh-CN"/>
                    </w:rPr>
                    <w:t>.203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cs="Times New Roman"/>
                <w:b/>
                <w:bCs w:val="0"/>
                <w:color w:val="auto"/>
                <w:sz w:val="24"/>
                <w:szCs w:val="24"/>
                <w:highlight w:val="yellow"/>
                <w:lang w:val="en-US" w:eastAsia="zh-CN"/>
              </w:rPr>
            </w:pPr>
            <w:r>
              <w:rPr>
                <w:rFonts w:hint="default" w:cs="宋体"/>
                <w:kern w:val="0"/>
                <w:sz w:val="24"/>
                <w:szCs w:val="24"/>
              </w:rPr>
              <w:t>经过预测得出最大落地浓度出现在下风向</w:t>
            </w:r>
            <w:r>
              <w:rPr>
                <w:rFonts w:hint="eastAsia" w:cs="宋体"/>
                <w:kern w:val="0"/>
                <w:sz w:val="24"/>
                <w:szCs w:val="24"/>
                <w:lang w:val="en-US" w:eastAsia="zh-CN"/>
              </w:rPr>
              <w:t>24</w:t>
            </w:r>
            <w:r>
              <w:rPr>
                <w:rFonts w:hint="default" w:cs="宋体"/>
                <w:kern w:val="0"/>
                <w:sz w:val="24"/>
                <w:szCs w:val="24"/>
              </w:rPr>
              <w:t>m处，</w:t>
            </w:r>
            <w:r>
              <w:rPr>
                <w:rFonts w:hint="eastAsia" w:cs="宋体"/>
                <w:kern w:val="0"/>
                <w:sz w:val="24"/>
                <w:szCs w:val="24"/>
              </w:rPr>
              <w:t>最大</w:t>
            </w:r>
            <w:r>
              <w:rPr>
                <w:rFonts w:hint="default" w:cs="宋体"/>
                <w:kern w:val="0"/>
                <w:sz w:val="24"/>
                <w:szCs w:val="24"/>
              </w:rPr>
              <w:t>落地浓度为0.00</w:t>
            </w:r>
            <w:r>
              <w:rPr>
                <w:rFonts w:hint="eastAsia" w:cs="宋体"/>
                <w:kern w:val="0"/>
                <w:sz w:val="24"/>
                <w:szCs w:val="24"/>
                <w:lang w:val="en-US" w:eastAsia="zh-CN"/>
              </w:rPr>
              <w:t>16</w:t>
            </w:r>
            <w:r>
              <w:rPr>
                <w:rFonts w:hint="default" w:cs="宋体"/>
                <w:kern w:val="0"/>
                <w:sz w:val="24"/>
                <w:szCs w:val="24"/>
              </w:rPr>
              <w:t>mg/m</w:t>
            </w:r>
            <w:r>
              <w:rPr>
                <w:rFonts w:hint="default" w:cs="宋体"/>
                <w:kern w:val="0"/>
                <w:sz w:val="24"/>
                <w:szCs w:val="24"/>
                <w:vertAlign w:val="superscript"/>
              </w:rPr>
              <w:t>3</w:t>
            </w:r>
            <w:r>
              <w:rPr>
                <w:rFonts w:hint="eastAsia" w:cs="宋体"/>
                <w:kern w:val="0"/>
                <w:sz w:val="24"/>
                <w:szCs w:val="24"/>
              </w:rPr>
              <w:t>，周界外无超标点，</w:t>
            </w:r>
            <w:r>
              <w:rPr>
                <w:rFonts w:hint="eastAsia" w:cs="宋体"/>
                <w:kern w:val="0"/>
                <w:sz w:val="24"/>
                <w:szCs w:val="24"/>
                <w:lang w:val="en-US" w:eastAsia="zh-CN"/>
              </w:rPr>
              <w:t>不需设置卫生防护距离，</w:t>
            </w:r>
            <w:r>
              <w:rPr>
                <w:rFonts w:hint="eastAsia" w:ascii="宋体" w:hAnsi="宋体" w:eastAsia="宋体" w:cs="宋体"/>
                <w:b w:val="0"/>
                <w:bCs/>
                <w:color w:val="auto"/>
                <w:sz w:val="24"/>
                <w:szCs w:val="24"/>
                <w:highlight w:val="none"/>
                <w:lang w:val="en-US" w:eastAsia="zh-CN"/>
              </w:rPr>
              <w:t>因此项目生产对周围大气环境敏感目标影响小，</w:t>
            </w:r>
            <w:r>
              <w:rPr>
                <w:rFonts w:hint="eastAsia" w:ascii="宋体" w:hAnsi="宋体" w:eastAsia="宋体" w:cs="宋体"/>
                <w:color w:val="auto"/>
                <w:sz w:val="24"/>
                <w:szCs w:val="24"/>
                <w:highlight w:val="none"/>
                <w:lang w:val="en-US" w:eastAsia="zh-CN"/>
              </w:rPr>
              <w:t>无需设置大气防护距离。</w:t>
            </w:r>
          </w:p>
          <w:p>
            <w:pPr>
              <w:pStyle w:val="16"/>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lang w:val="en-US" w:eastAsia="zh-CN"/>
              </w:rPr>
              <w:t>排放口基本情况</w:t>
            </w:r>
          </w:p>
          <w:p>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本项目的VOCs废气排放口位于生产车间</w:t>
            </w:r>
            <w:r>
              <w:rPr>
                <w:rFonts w:hint="eastAsia" w:cs="Times New Roman"/>
                <w:bCs/>
                <w:color w:val="auto"/>
                <w:sz w:val="24"/>
                <w:szCs w:val="24"/>
                <w:lang w:val="en-US" w:eastAsia="zh-CN"/>
              </w:rPr>
              <w:t>上方</w:t>
            </w:r>
            <w:r>
              <w:rPr>
                <w:rFonts w:hint="default" w:ascii="Times New Roman" w:hAnsi="Times New Roman" w:eastAsia="宋体" w:cs="Times New Roman"/>
                <w:bCs/>
                <w:color w:val="auto"/>
                <w:sz w:val="24"/>
                <w:szCs w:val="24"/>
                <w:lang w:val="en-US" w:eastAsia="zh-CN"/>
              </w:rPr>
              <w:t>，基本信息见下表。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rPr>
              <w:t>项目废气排放口基本情况表</w:t>
            </w:r>
          </w:p>
          <w:tbl>
            <w:tblPr>
              <w:tblStyle w:val="22"/>
              <w:tblW w:w="8057" w:type="dxa"/>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45"/>
              <w:gridCol w:w="1109"/>
              <w:gridCol w:w="1123"/>
              <w:gridCol w:w="1068"/>
              <w:gridCol w:w="1227"/>
              <w:gridCol w:w="990"/>
              <w:gridCol w:w="510"/>
              <w:gridCol w:w="851"/>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34"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645"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2232" w:type="dxa"/>
                  <w:gridSpan w:val="2"/>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排气筒底部中心坐标/度</w:t>
                  </w:r>
                </w:p>
              </w:tc>
              <w:tc>
                <w:tcPr>
                  <w:tcW w:w="1068" w:type="dxa"/>
                  <w:shd w:val="clear" w:color="auto" w:fill="FFFFFF"/>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污染物种类</w:t>
                  </w:r>
                </w:p>
              </w:tc>
              <w:tc>
                <w:tcPr>
                  <w:tcW w:w="1227" w:type="dxa"/>
                  <w:shd w:val="clear" w:color="auto" w:fill="FFFFFF"/>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排气筒高度m</w:t>
                  </w:r>
                </w:p>
              </w:tc>
              <w:tc>
                <w:tcPr>
                  <w:tcW w:w="990" w:type="dxa"/>
                  <w:shd w:val="clear" w:color="auto" w:fill="FFFFFF"/>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排气筒口径</w:t>
                  </w:r>
                </w:p>
              </w:tc>
              <w:tc>
                <w:tcPr>
                  <w:tcW w:w="510" w:type="dxa"/>
                  <w:shd w:val="clear" w:color="auto" w:fill="FFFFFF"/>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流量</w:t>
                  </w:r>
                </w:p>
              </w:tc>
              <w:tc>
                <w:tcPr>
                  <w:tcW w:w="851" w:type="dxa"/>
                  <w:shd w:val="clear" w:color="auto" w:fill="FFFFFF"/>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排气温度</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34"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645"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w:t>
                  </w:r>
                </w:p>
              </w:tc>
              <w:tc>
                <w:tcPr>
                  <w:tcW w:w="1109"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0"/>
                      <w:szCs w:val="20"/>
                    </w:rPr>
                    <w:t>129°13′19.332″</w:t>
                  </w:r>
                </w:p>
              </w:tc>
              <w:tc>
                <w:tcPr>
                  <w:tcW w:w="1123"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0"/>
                      <w:szCs w:val="20"/>
                    </w:rPr>
                    <w:t>44°7′19.669″</w:t>
                  </w:r>
                </w:p>
              </w:tc>
              <w:tc>
                <w:tcPr>
                  <w:tcW w:w="1068"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VOCs</w:t>
                  </w:r>
                </w:p>
              </w:tc>
              <w:tc>
                <w:tcPr>
                  <w:tcW w:w="1227"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990"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510"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5975</w:t>
                  </w:r>
                </w:p>
              </w:tc>
              <w:tc>
                <w:tcPr>
                  <w:tcW w:w="851" w:type="dxa"/>
                  <w:shd w:val="clear" w:color="auto" w:fill="FFFFFF"/>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常温</w:t>
                  </w:r>
                </w:p>
              </w:tc>
            </w:tr>
          </w:tbl>
          <w:p>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313" w:beforeLines="100" w:beforeAutospacing="0" w:after="0" w:afterAutospacing="0" w:line="240" w:lineRule="auto"/>
              <w:ind w:left="420" w:leftChars="200" w:right="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5、废气处理措施可行性分析</w:t>
            </w:r>
          </w:p>
          <w:p>
            <w:pPr>
              <w:keepNext w:val="0"/>
              <w:keepLines w:val="0"/>
              <w:suppressLineNumbers w:val="0"/>
              <w:spacing w:before="0" w:beforeAutospacing="0" w:after="0" w:afterAutospacing="0"/>
              <w:ind w:left="0" w:right="0"/>
              <w:rPr>
                <w:rFonts w:hint="default" w:ascii="Times New Roman" w:hAnsi="Times New Roman" w:cs="Times New Roman"/>
                <w:sz w:val="20"/>
                <w:szCs w:val="22"/>
                <w:lang w:val="en-US" w:eastAsia="zh-CN"/>
              </w:rPr>
            </w:pPr>
          </w:p>
          <w:p>
            <w:pPr>
              <w:pStyle w:val="16"/>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lang w:val="en-US" w:eastAsia="zh-CN"/>
              </w:rPr>
              <w:t>根据《排污许可证申请与核发技术规范 橡胶和塑料制品工业》（HJ</w:t>
            </w:r>
            <w:r>
              <w:rPr>
                <w:rFonts w:hint="default" w:ascii="Times New Roman" w:hAnsi="Times New Roman" w:eastAsia="宋体" w:cs="Times New Roman"/>
                <w:bCs/>
                <w:color w:val="auto"/>
                <w:sz w:val="24"/>
                <w:szCs w:val="24"/>
                <w:highlight w:val="none"/>
                <w:lang w:val="en-US" w:eastAsia="zh-CN"/>
              </w:rPr>
              <w:t>1122-2020）“表A.2”，本项目采取措施为集气罩收集+活性炭吸附+15m高排气筒，为可行技术。</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使用除聚氯乙烯以外的树脂生产塑料制品的排污单位大气污染物种类依据GB31572、GB37822确定，使用非甲烷总烃作为挥发性有机物排放的综合控制指标，同时选取GB31572规定适用的合成树脂类型对应的污染物种类作为特征控制指标。使用聚氯乙烯树脂生产塑料制品的排污单位大气污染物种类依据GB16297、GB37822确定”，本项目使用的原料为聚丙烯塑料颗粒，应满足《合成树脂工业污染物排放标准》（GB31572-2015）中“表4”的大气排放限值，本项目的废气排放符合性分析见下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表4-</w:t>
            </w: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 xml:space="preserve"> 本项目排放标准及达标分析</w:t>
            </w:r>
          </w:p>
          <w:tbl>
            <w:tblPr>
              <w:tblStyle w:val="22"/>
              <w:tblW w:w="80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710"/>
              <w:gridCol w:w="899"/>
              <w:gridCol w:w="920"/>
              <w:gridCol w:w="2167"/>
              <w:gridCol w:w="886"/>
              <w:gridCol w:w="713"/>
              <w:gridCol w:w="666"/>
              <w:gridCol w:w="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trPr>
              <w:tc>
                <w:tcPr>
                  <w:tcW w:w="591" w:type="dxa"/>
                  <w:vMerge w:val="restart"/>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排放口编号</w:t>
                  </w:r>
                </w:p>
              </w:tc>
              <w:tc>
                <w:tcPr>
                  <w:tcW w:w="710" w:type="dxa"/>
                  <w:vMerge w:val="restart"/>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污染物种类</w:t>
                  </w:r>
                </w:p>
              </w:tc>
              <w:tc>
                <w:tcPr>
                  <w:tcW w:w="1819" w:type="dxa"/>
                  <w:gridSpan w:val="2"/>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排放源强</w:t>
                  </w:r>
                </w:p>
              </w:tc>
              <w:tc>
                <w:tcPr>
                  <w:tcW w:w="3053" w:type="dxa"/>
                  <w:gridSpan w:val="2"/>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国家或地方污染物排放标准</w:t>
                  </w:r>
                </w:p>
              </w:tc>
              <w:tc>
                <w:tcPr>
                  <w:tcW w:w="713" w:type="dxa"/>
                  <w:vMerge w:val="restart"/>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排气筒高度（m）</w:t>
                  </w:r>
                </w:p>
              </w:tc>
              <w:tc>
                <w:tcPr>
                  <w:tcW w:w="666" w:type="dxa"/>
                  <w:vMerge w:val="restart"/>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治理措施</w:t>
                  </w:r>
                </w:p>
              </w:tc>
              <w:tc>
                <w:tcPr>
                  <w:tcW w:w="510" w:type="dxa"/>
                  <w:vMerge w:val="restart"/>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blHeader/>
              </w:trPr>
              <w:tc>
                <w:tcPr>
                  <w:tcW w:w="591" w:type="dxa"/>
                  <w:vMerge w:val="continue"/>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710" w:type="dxa"/>
                  <w:vMerge w:val="continue"/>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899"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排放浓度（mg/m</w:t>
                  </w:r>
                  <w:r>
                    <w:rPr>
                      <w:rFonts w:hint="default" w:ascii="Times New Roman" w:hAnsi="Times New Roman" w:eastAsia="宋体" w:cs="Times New Roman"/>
                      <w:color w:val="auto"/>
                      <w:sz w:val="20"/>
                      <w:szCs w:val="20"/>
                      <w:vertAlign w:val="superscript"/>
                      <w:lang w:val="en-US" w:eastAsia="zh-CN"/>
                    </w:rPr>
                    <w:t>3</w:t>
                  </w:r>
                  <w:r>
                    <w:rPr>
                      <w:rFonts w:hint="default" w:ascii="Times New Roman" w:hAnsi="Times New Roman" w:eastAsia="宋体" w:cs="Times New Roman"/>
                      <w:color w:val="auto"/>
                      <w:sz w:val="20"/>
                      <w:szCs w:val="20"/>
                      <w:lang w:val="en-US" w:eastAsia="zh-CN"/>
                    </w:rPr>
                    <w:t>）</w:t>
                  </w:r>
                </w:p>
              </w:tc>
              <w:tc>
                <w:tcPr>
                  <w:tcW w:w="920"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排放速率（kg/h）</w:t>
                  </w:r>
                </w:p>
              </w:tc>
              <w:tc>
                <w:tcPr>
                  <w:tcW w:w="2167"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名称</w:t>
                  </w:r>
                </w:p>
              </w:tc>
              <w:tc>
                <w:tcPr>
                  <w:tcW w:w="886"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浓度限值</w:t>
                  </w:r>
                </w:p>
              </w:tc>
              <w:tc>
                <w:tcPr>
                  <w:tcW w:w="713" w:type="dxa"/>
                  <w:vMerge w:val="continue"/>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p>
              </w:tc>
              <w:tc>
                <w:tcPr>
                  <w:tcW w:w="666" w:type="dxa"/>
                  <w:vMerge w:val="continue"/>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p>
              </w:tc>
              <w:tc>
                <w:tcPr>
                  <w:tcW w:w="510" w:type="dxa"/>
                  <w:vMerge w:val="continue"/>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591"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DA001</w:t>
                  </w:r>
                </w:p>
              </w:tc>
              <w:tc>
                <w:tcPr>
                  <w:tcW w:w="710"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VOCs</w:t>
                  </w:r>
                </w:p>
              </w:tc>
              <w:tc>
                <w:tcPr>
                  <w:tcW w:w="899"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6.75</w:t>
                  </w:r>
                </w:p>
              </w:tc>
              <w:tc>
                <w:tcPr>
                  <w:tcW w:w="920"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0.2</w:t>
                  </w:r>
                  <w:r>
                    <w:rPr>
                      <w:rFonts w:hint="eastAsia" w:cs="Times New Roman"/>
                      <w:color w:val="auto"/>
                      <w:sz w:val="20"/>
                      <w:szCs w:val="20"/>
                      <w:lang w:val="en-US" w:eastAsia="zh-CN"/>
                    </w:rPr>
                    <w:t>03</w:t>
                  </w:r>
                </w:p>
              </w:tc>
              <w:tc>
                <w:tcPr>
                  <w:tcW w:w="2167"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《合成树脂工业污染物排放标准》（GB31572-2015）中“表4”的排放限值</w:t>
                  </w:r>
                </w:p>
              </w:tc>
              <w:tc>
                <w:tcPr>
                  <w:tcW w:w="886"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100</w:t>
                  </w:r>
                </w:p>
              </w:tc>
              <w:tc>
                <w:tcPr>
                  <w:tcW w:w="713"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15</w:t>
                  </w:r>
                </w:p>
              </w:tc>
              <w:tc>
                <w:tcPr>
                  <w:tcW w:w="666"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集气罩+活性炭吸附</w:t>
                  </w:r>
                </w:p>
              </w:tc>
              <w:tc>
                <w:tcPr>
                  <w:tcW w:w="510" w:type="dxa"/>
                  <w:tcBorders>
                    <w:tl2br w:val="nil"/>
                    <w:tr2bl w:val="nil"/>
                  </w:tcBorders>
                  <w:shd w:val="clear" w:color="auto" w:fill="FFFFFF"/>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达标</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482" w:firstLineChars="200"/>
              <w:textAlignment w:val="auto"/>
              <w:rPr>
                <w:rFonts w:hint="default" w:ascii="Times New Roman" w:hAnsi="Times New Roman" w:eastAsia="宋体" w:cs="Times New Roman"/>
                <w:b/>
                <w:bCs/>
                <w:smallCap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lang w:val="en-US" w:eastAsia="zh-CN" w:bidi="ar-SA"/>
              </w:rPr>
              <w:t>6、监测计划</w:t>
            </w:r>
          </w:p>
          <w:p>
            <w:pPr>
              <w:pStyle w:val="16"/>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根据《固定污染源排污许可分类管理名录》(2019版)，</w:t>
            </w:r>
            <w:r>
              <w:rPr>
                <w:rFonts w:hint="default" w:ascii="Times New Roman" w:hAnsi="Times New Roman" w:cs="Times New Roman"/>
                <w:bCs/>
                <w:color w:val="auto"/>
                <w:sz w:val="24"/>
                <w:szCs w:val="24"/>
                <w:lang w:val="en-US" w:eastAsia="zh-CN"/>
              </w:rPr>
              <w:t>本项目</w:t>
            </w:r>
            <w:r>
              <w:rPr>
                <w:rFonts w:hint="default" w:ascii="Times New Roman" w:hAnsi="Times New Roman" w:eastAsia="宋体" w:cs="Times New Roman"/>
                <w:bCs/>
                <w:color w:val="auto"/>
                <w:sz w:val="24"/>
                <w:szCs w:val="24"/>
                <w:lang w:val="en-US" w:eastAsia="zh-CN"/>
              </w:rPr>
              <w:t>为简化管理，根据《排污许可证申请与核发技术规范 橡胶和塑料制品工业 》(HJ1122—2020)“表5”，本项目的监测方案见下表。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lang w:val="en-US"/>
              </w:rPr>
            </w:pPr>
            <w:r>
              <w:rPr>
                <w:rFonts w:hint="default" w:ascii="Times New Roman" w:hAnsi="Times New Roman" w:eastAsia="宋体" w:cs="Times New Roman"/>
                <w:b/>
                <w:bCs w:val="0"/>
                <w:color w:val="auto"/>
                <w:sz w:val="24"/>
                <w:szCs w:val="24"/>
              </w:rPr>
              <w:t>表4</w:t>
            </w:r>
            <w:r>
              <w:rPr>
                <w:rFonts w:hint="default" w:ascii="Times New Roman" w:hAnsi="Times New Roman" w:eastAsia="宋体" w:cs="Times New Roman"/>
                <w:b/>
                <w:bCs w:val="0"/>
                <w:color w:val="auto"/>
                <w:sz w:val="24"/>
                <w:szCs w:val="24"/>
                <w:lang w:eastAsia="zh-CN"/>
              </w:rPr>
              <w:t>-</w:t>
            </w:r>
            <w:r>
              <w:rPr>
                <w:rFonts w:hint="eastAsia" w:cs="Times New Roman"/>
                <w:b/>
                <w:bCs w:val="0"/>
                <w:color w:val="auto"/>
                <w:sz w:val="24"/>
                <w:szCs w:val="24"/>
                <w:lang w:val="en-US" w:eastAsia="zh-CN"/>
              </w:rPr>
              <w:t>8</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本项目废气监测计划一览表</w:t>
            </w:r>
          </w:p>
          <w:tbl>
            <w:tblPr>
              <w:tblStyle w:val="23"/>
              <w:tblW w:w="8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612"/>
              <w:gridCol w:w="1612"/>
              <w:gridCol w:w="1613"/>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排放方式</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监测点位</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监测指标</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执行标准</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有组织</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废气排口</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颗粒物、非甲烷总烃、臭气浓度、恶臭特征污染物</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GB16297</w:t>
                  </w:r>
                </w:p>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GB14554</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2"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无组织</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厂界</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颗粒物、非甲烷总烃、臭气浓度、恶臭特征污染物</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GB31572</w:t>
                  </w:r>
                </w:p>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GB14554</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2" w:type="dxa"/>
                  <w:vMerge w:val="continue"/>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厂区内</w:t>
                  </w:r>
                </w:p>
              </w:tc>
              <w:tc>
                <w:tcPr>
                  <w:tcW w:w="1612"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非甲烷总烃</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GB37822</w:t>
                  </w:r>
                </w:p>
              </w:tc>
              <w:tc>
                <w:tcPr>
                  <w:tcW w:w="1613" w:type="dxa"/>
                  <w:vAlign w:val="center"/>
                </w:tcPr>
                <w:p>
                  <w:pPr>
                    <w:keepNext w:val="0"/>
                    <w:keepLines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auto"/>
                      <w:sz w:val="24"/>
                      <w:szCs w:val="24"/>
                      <w:vertAlign w:val="baseline"/>
                      <w:lang w:val="en-US" w:eastAsia="zh-CN"/>
                    </w:rPr>
                  </w:pPr>
                  <w:r>
                    <w:rPr>
                      <w:rFonts w:hint="eastAsia" w:ascii="宋体" w:hAnsi="宋体" w:eastAsia="宋体" w:cs="宋体"/>
                      <w:color w:val="auto"/>
                      <w:kern w:val="0"/>
                      <w:sz w:val="21"/>
                      <w:szCs w:val="21"/>
                      <w:lang w:val="en-US" w:eastAsia="zh-CN"/>
                    </w:rPr>
                    <w:t>各地根据当地环境保护需要自行确定</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lang w:val="en-US"/>
              </w:rPr>
            </w:pPr>
            <w:r>
              <w:rPr>
                <w:rFonts w:hint="default" w:ascii="Times New Roman" w:hAnsi="Times New Roman" w:eastAsia="宋体" w:cs="Times New Roman"/>
                <w:b/>
                <w:bCs w:val="0"/>
                <w:color w:val="auto"/>
                <w:sz w:val="24"/>
                <w:szCs w:val="24"/>
                <w:lang w:val="en-US" w:eastAsia="zh-CN"/>
              </w:rPr>
              <w:t>三、噪声</w:t>
            </w:r>
          </w:p>
          <w:p>
            <w:pPr>
              <w:keepNext w:val="0"/>
              <w:keepLines w:val="0"/>
              <w:numPr>
                <w:ilvl w:val="0"/>
                <w:numId w:val="0"/>
              </w:numPr>
              <w:suppressLineNumbers w:val="0"/>
              <w:adjustRightInd w:val="0"/>
              <w:snapToGrid w:val="0"/>
              <w:spacing w:before="0" w:beforeAutospacing="0" w:after="0" w:afterAutospacing="0" w:line="360" w:lineRule="auto"/>
              <w:ind w:left="400" w:leftChars="0" w:right="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源强核算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本项目主要噪声来自生产车间设备噪声，主要有投料机、注塑机、循环水</w:t>
            </w:r>
            <w:r>
              <w:rPr>
                <w:rFonts w:hint="eastAsia" w:cs="Times New Roman"/>
                <w:bCs/>
                <w:color w:val="auto"/>
                <w:sz w:val="24"/>
                <w:szCs w:val="24"/>
                <w:lang w:val="en-US" w:eastAsia="zh-CN"/>
              </w:rPr>
              <w:t>系统</w:t>
            </w:r>
            <w:r>
              <w:rPr>
                <w:rFonts w:hint="default" w:ascii="Times New Roman" w:hAnsi="Times New Roman" w:eastAsia="宋体" w:cs="Times New Roman"/>
                <w:bCs/>
                <w:color w:val="auto"/>
                <w:sz w:val="24"/>
                <w:szCs w:val="24"/>
                <w:lang w:val="en-US" w:eastAsia="zh-CN"/>
              </w:rPr>
              <w:t>，以及环保设施风机的噪声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类比</w:t>
            </w:r>
            <w:r>
              <w:rPr>
                <w:rFonts w:hint="eastAsia" w:cs="Times New Roman"/>
                <w:color w:val="000000" w:themeColor="text1"/>
                <w:sz w:val="24"/>
                <w:szCs w:val="24"/>
                <w:lang w:val="en-US" w:eastAsia="zh-CN"/>
                <w14:textFill>
                  <w14:solidFill>
                    <w14:schemeClr w14:val="tx1"/>
                  </w14:solidFill>
                </w14:textFill>
              </w:rPr>
              <w:t>同类项目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auto"/>
                <w:sz w:val="24"/>
                <w:szCs w:val="24"/>
                <w:lang w:val="en-US" w:eastAsia="zh-CN"/>
              </w:rPr>
              <w:t>项目的</w:t>
            </w:r>
            <w:r>
              <w:rPr>
                <w:rFonts w:hint="default" w:ascii="Times New Roman" w:hAnsi="Times New Roman" w:eastAsia="宋体" w:cs="Times New Roman"/>
                <w:bCs/>
                <w:color w:val="auto"/>
                <w:sz w:val="24"/>
                <w:szCs w:val="24"/>
              </w:rPr>
              <w:t>噪声源强见</w:t>
            </w:r>
            <w:r>
              <w:rPr>
                <w:rFonts w:hint="default" w:ascii="Times New Roman" w:hAnsi="Times New Roman" w:eastAsia="宋体" w:cs="Times New Roman"/>
                <w:bCs/>
                <w:color w:val="auto"/>
                <w:sz w:val="24"/>
                <w:szCs w:val="24"/>
                <w:lang w:val="en-US" w:eastAsia="zh-CN"/>
              </w:rPr>
              <w:t>下表</w:t>
            </w:r>
            <w:r>
              <w:rPr>
                <w:rFonts w:hint="default" w:ascii="Times New Roman" w:hAnsi="Times New Roman" w:eastAsia="宋体" w:cs="Times New Roman"/>
                <w:bCs/>
                <w:color w:val="auto"/>
                <w:sz w:val="24"/>
                <w:szCs w:val="24"/>
              </w:rPr>
              <w:t>。</w:t>
            </w:r>
          </w:p>
          <w:p>
            <w:pPr>
              <w:pStyle w:val="5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4-</w:t>
            </w:r>
            <w:r>
              <w:rPr>
                <w:rFonts w:hint="eastAsia" w:eastAsia="宋体"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rPr>
              <w:t>本项目噪声源及源强</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单位：dB(A)</w:t>
            </w:r>
            <w:r>
              <w:rPr>
                <w:rFonts w:hint="default" w:ascii="Times New Roman" w:hAnsi="Times New Roman" w:eastAsia="宋体" w:cs="Times New Roman"/>
                <w:b/>
                <w:bCs w:val="0"/>
                <w:color w:val="auto"/>
                <w:sz w:val="24"/>
                <w:szCs w:val="24"/>
                <w:highlight w:val="none"/>
                <w:lang w:eastAsia="zh-CN"/>
              </w:rPr>
              <w:t>）</w:t>
            </w:r>
          </w:p>
          <w:tbl>
            <w:tblPr>
              <w:tblStyle w:val="23"/>
              <w:tblW w:w="80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42"/>
              <w:gridCol w:w="945"/>
              <w:gridCol w:w="600"/>
              <w:gridCol w:w="658"/>
              <w:gridCol w:w="845"/>
              <w:gridCol w:w="1059"/>
              <w:gridCol w:w="1061"/>
              <w:gridCol w:w="952"/>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工序/生产线</w:t>
                  </w:r>
                </w:p>
              </w:tc>
              <w:tc>
                <w:tcPr>
                  <w:tcW w:w="542"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装置</w:t>
                  </w:r>
                </w:p>
              </w:tc>
              <w:tc>
                <w:tcPr>
                  <w:tcW w:w="945"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噪声源</w:t>
                  </w:r>
                </w:p>
              </w:tc>
              <w:tc>
                <w:tcPr>
                  <w:tcW w:w="600"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声源类型</w:t>
                  </w:r>
                </w:p>
              </w:tc>
              <w:tc>
                <w:tcPr>
                  <w:tcW w:w="1503" w:type="dxa"/>
                  <w:gridSpan w:val="2"/>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噪声源强</w:t>
                  </w:r>
                </w:p>
              </w:tc>
              <w:tc>
                <w:tcPr>
                  <w:tcW w:w="3072" w:type="dxa"/>
                  <w:gridSpan w:val="3"/>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降噪措施</w:t>
                  </w:r>
                </w:p>
              </w:tc>
              <w:tc>
                <w:tcPr>
                  <w:tcW w:w="740"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Merge w:val="continue"/>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p>
              </w:tc>
              <w:tc>
                <w:tcPr>
                  <w:tcW w:w="542" w:type="dxa"/>
                  <w:vMerge w:val="continue"/>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p>
              </w:tc>
              <w:tc>
                <w:tcPr>
                  <w:tcW w:w="945" w:type="dxa"/>
                  <w:vMerge w:val="continue"/>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p>
              </w:tc>
              <w:tc>
                <w:tcPr>
                  <w:tcW w:w="600" w:type="dxa"/>
                  <w:vMerge w:val="continue"/>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p>
              </w:tc>
              <w:tc>
                <w:tcPr>
                  <w:tcW w:w="658"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核算方法</w:t>
                  </w:r>
                </w:p>
              </w:tc>
              <w:tc>
                <w:tcPr>
                  <w:tcW w:w="845"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噪声值</w:t>
                  </w:r>
                </w:p>
              </w:tc>
              <w:tc>
                <w:tcPr>
                  <w:tcW w:w="1059"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工艺</w:t>
                  </w:r>
                </w:p>
              </w:tc>
              <w:tc>
                <w:tcPr>
                  <w:tcW w:w="1061"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降噪效果</w:t>
                  </w:r>
                </w:p>
              </w:tc>
              <w:tc>
                <w:tcPr>
                  <w:tcW w:w="952"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噪声值</w:t>
                  </w:r>
                </w:p>
              </w:tc>
              <w:tc>
                <w:tcPr>
                  <w:tcW w:w="740" w:type="dxa"/>
                  <w:vMerge w:val="continue"/>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Merge w:val="restart"/>
                  <w:vAlign w:val="center"/>
                </w:tcPr>
                <w:p>
                  <w:pPr>
                    <w:pStyle w:val="51"/>
                    <w:spacing w:line="240" w:lineRule="auto"/>
                    <w:ind w:left="0" w:right="0"/>
                    <w:jc w:val="both"/>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生产</w:t>
                  </w:r>
                </w:p>
              </w:tc>
              <w:tc>
                <w:tcPr>
                  <w:tcW w:w="542"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w:t>
                  </w:r>
                </w:p>
              </w:tc>
              <w:tc>
                <w:tcPr>
                  <w:tcW w:w="945"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投料机</w:t>
                  </w:r>
                </w:p>
              </w:tc>
              <w:tc>
                <w:tcPr>
                  <w:tcW w:w="600"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频发</w:t>
                  </w:r>
                </w:p>
              </w:tc>
              <w:tc>
                <w:tcPr>
                  <w:tcW w:w="658"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类比法</w:t>
                  </w:r>
                </w:p>
              </w:tc>
              <w:tc>
                <w:tcPr>
                  <w:tcW w:w="845"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70</w:t>
                  </w:r>
                </w:p>
              </w:tc>
              <w:tc>
                <w:tcPr>
                  <w:tcW w:w="1059"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选用低噪声设备，加强设备保养，墙体和门窗紧闭隔声等措施，及距离衰减。</w:t>
                  </w:r>
                </w:p>
              </w:tc>
              <w:tc>
                <w:tcPr>
                  <w:tcW w:w="1061"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25</w:t>
                  </w:r>
                </w:p>
              </w:tc>
              <w:tc>
                <w:tcPr>
                  <w:tcW w:w="952"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45</w:t>
                  </w:r>
                </w:p>
              </w:tc>
              <w:tc>
                <w:tcPr>
                  <w:tcW w:w="740" w:type="dxa"/>
                  <w:vMerge w:val="restart"/>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rPr>
                  </w:pPr>
                </w:p>
              </w:tc>
              <w:tc>
                <w:tcPr>
                  <w:tcW w:w="542"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rPr>
                  </w:pPr>
                </w:p>
              </w:tc>
              <w:tc>
                <w:tcPr>
                  <w:tcW w:w="945"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注塑机</w:t>
                  </w:r>
                </w:p>
              </w:tc>
              <w:tc>
                <w:tcPr>
                  <w:tcW w:w="600"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658"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845"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70</w:t>
                  </w:r>
                </w:p>
              </w:tc>
              <w:tc>
                <w:tcPr>
                  <w:tcW w:w="1059"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061"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952"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45</w:t>
                  </w:r>
                </w:p>
              </w:tc>
              <w:tc>
                <w:tcPr>
                  <w:tcW w:w="740"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rPr>
                  </w:pPr>
                </w:p>
              </w:tc>
              <w:tc>
                <w:tcPr>
                  <w:tcW w:w="542"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rPr>
                  </w:pPr>
                </w:p>
              </w:tc>
              <w:tc>
                <w:tcPr>
                  <w:tcW w:w="945"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循环水</w:t>
                  </w:r>
                  <w:r>
                    <w:rPr>
                      <w:rFonts w:hint="eastAsia" w:ascii="Times New Roman" w:hAnsi="Times New Roman" w:eastAsia="宋体" w:cs="Times New Roman"/>
                      <w:bCs/>
                      <w:snapToGrid w:val="0"/>
                      <w:color w:val="auto"/>
                      <w:kern w:val="0"/>
                      <w:sz w:val="21"/>
                      <w:szCs w:val="21"/>
                      <w:highlight w:val="none"/>
                      <w:lang w:val="en-US" w:eastAsia="zh-CN" w:bidi="ar-SA"/>
                    </w:rPr>
                    <w:t>泵</w:t>
                  </w:r>
                </w:p>
              </w:tc>
              <w:tc>
                <w:tcPr>
                  <w:tcW w:w="600"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658"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845"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60</w:t>
                  </w:r>
                </w:p>
              </w:tc>
              <w:tc>
                <w:tcPr>
                  <w:tcW w:w="1059"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061"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952"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35</w:t>
                  </w:r>
                </w:p>
              </w:tc>
              <w:tc>
                <w:tcPr>
                  <w:tcW w:w="740"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6" w:type="dxa"/>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环保措施</w:t>
                  </w:r>
                </w:p>
              </w:tc>
              <w:tc>
                <w:tcPr>
                  <w:tcW w:w="542" w:type="dxa"/>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5" w:type="dxa"/>
                  <w:vAlign w:val="center"/>
                </w:tcPr>
                <w:p>
                  <w:pPr>
                    <w:pStyle w:val="51"/>
                    <w:spacing w:line="240" w:lineRule="auto"/>
                    <w:ind w:left="0" w:right="0"/>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风机</w:t>
                  </w:r>
                </w:p>
              </w:tc>
              <w:tc>
                <w:tcPr>
                  <w:tcW w:w="600" w:type="dxa"/>
                  <w:vMerge w:val="continue"/>
                  <w:vAlign w:val="center"/>
                </w:tcPr>
                <w:p>
                  <w:pPr>
                    <w:pStyle w:val="51"/>
                    <w:spacing w:line="240" w:lineRule="auto"/>
                    <w:ind w:left="0" w:right="0"/>
                    <w:jc w:val="center"/>
                    <w:rPr>
                      <w:rFonts w:hint="default" w:ascii="Times New Roman" w:hAnsi="Times New Roman" w:eastAsia="宋体" w:cs="Times New Roman"/>
                      <w:color w:val="auto"/>
                      <w:kern w:val="2"/>
                      <w:sz w:val="21"/>
                      <w:szCs w:val="21"/>
                      <w:highlight w:val="none"/>
                      <w:lang w:val="en-US" w:eastAsia="zh-CN" w:bidi="ar"/>
                    </w:rPr>
                  </w:pPr>
                </w:p>
              </w:tc>
              <w:tc>
                <w:tcPr>
                  <w:tcW w:w="658"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845"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80</w:t>
                  </w:r>
                </w:p>
              </w:tc>
              <w:tc>
                <w:tcPr>
                  <w:tcW w:w="1059"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061" w:type="dxa"/>
                  <w:vMerge w:val="continue"/>
                  <w:vAlign w:val="center"/>
                </w:tcPr>
                <w:p>
                  <w:pPr>
                    <w:pStyle w:val="51"/>
                    <w:spacing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952" w:type="dxa"/>
                  <w:vAlign w:val="center"/>
                </w:tcPr>
                <w:p>
                  <w:pPr>
                    <w:pStyle w:val="51"/>
                    <w:spacing w:line="240" w:lineRule="auto"/>
                    <w:ind w:left="0" w:right="0"/>
                    <w:jc w:val="cente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55</w:t>
                  </w:r>
                </w:p>
              </w:tc>
              <w:tc>
                <w:tcPr>
                  <w:tcW w:w="740" w:type="dxa"/>
                  <w:vMerge w:val="continue"/>
                  <w:vAlign w:val="center"/>
                </w:tcPr>
                <w:p>
                  <w:pPr>
                    <w:pStyle w:val="51"/>
                    <w:spacing w:line="240" w:lineRule="auto"/>
                    <w:ind w:left="0" w:right="0"/>
                    <w:jc w:val="center"/>
                    <w:rPr>
                      <w:rFonts w:hint="default" w:ascii="Times New Roman" w:hAnsi="Times New Roman" w:eastAsia="宋体" w:cs="Times New Roman"/>
                      <w:color w:val="auto"/>
                      <w:kern w:val="2"/>
                      <w:sz w:val="21"/>
                      <w:szCs w:val="21"/>
                      <w:highlight w:val="none"/>
                      <w:lang w:val="en-US" w:eastAsia="zh-CN" w:bidi="ar"/>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由上表可知，</w:t>
            </w:r>
            <w:r>
              <w:rPr>
                <w:rFonts w:hint="default" w:ascii="Times New Roman" w:hAnsi="Times New Roman" w:eastAsia="宋体" w:cs="Times New Roman"/>
                <w:bCs/>
                <w:color w:val="auto"/>
                <w:sz w:val="24"/>
                <w:szCs w:val="24"/>
                <w:lang w:val="en-US" w:eastAsia="zh-CN"/>
              </w:rPr>
              <w:t>项目单位需选用低噪声设备，加强设备保养，墙体和门窗紧闭隔声等措施</w:t>
            </w:r>
            <w:r>
              <w:rPr>
                <w:rFonts w:hint="default" w:ascii="Times New Roman" w:hAnsi="Times New Roman" w:eastAsia="宋体" w:cs="Times New Roman"/>
                <w:b w:val="0"/>
                <w:bCs/>
                <w:color w:val="auto"/>
                <w:sz w:val="24"/>
                <w:szCs w:val="24"/>
                <w:lang w:val="en-US" w:eastAsia="zh-CN"/>
              </w:rPr>
              <w:t>后，本项目的噪声值能够满足《工业企业厂界噪声排放标准》（GB12348-2008）中2类区的标准限值，即昼间60dB(A)。本项目夜间不生产。</w:t>
            </w:r>
          </w:p>
          <w:p>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对敏感目标的影响分析</w:t>
            </w:r>
          </w:p>
          <w:p>
            <w:pPr>
              <w:pStyle w:val="53"/>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bCs/>
                <w:color w:val="auto"/>
                <w:sz w:val="24"/>
                <w:szCs w:val="24"/>
                <w:lang w:eastAsia="zh-CN"/>
              </w:rPr>
            </w:pPr>
            <w:r>
              <w:rPr>
                <w:rFonts w:hint="default" w:ascii="Times New Roman" w:hAnsi="Times New Roman" w:eastAsia="宋体" w:cs="Times New Roman"/>
                <w:bCs/>
                <w:color w:val="auto"/>
                <w:sz w:val="24"/>
                <w:szCs w:val="24"/>
              </w:rPr>
              <w:t>本项目</w:t>
            </w:r>
            <w:r>
              <w:rPr>
                <w:rFonts w:hint="default" w:ascii="Times New Roman" w:hAnsi="Times New Roman" w:eastAsia="宋体" w:cs="Times New Roman"/>
                <w:bCs/>
                <w:color w:val="auto"/>
                <w:sz w:val="24"/>
                <w:szCs w:val="24"/>
                <w:lang w:val="en-US" w:eastAsia="zh-CN"/>
              </w:rPr>
              <w:t>位于黑龙江省牡丹江市宁安市东京城镇振兴村，</w:t>
            </w:r>
            <w:r>
              <w:rPr>
                <w:rFonts w:hint="eastAsia" w:cs="Times New Roman"/>
                <w:color w:val="auto"/>
                <w:sz w:val="24"/>
                <w:szCs w:val="24"/>
                <w:lang w:val="en-US" w:eastAsia="zh-CN"/>
              </w:rPr>
              <w:t>东侧为闲置厂房，南侧为闲置居民房屋，西侧为废油加工厂及居民住宅，北侧为闲置厂房，</w:t>
            </w:r>
            <w:r>
              <w:rPr>
                <w:rFonts w:hint="default" w:ascii="Times New Roman" w:hAnsi="Times New Roman" w:eastAsia="宋体" w:cs="Times New Roman"/>
                <w:bCs/>
                <w:color w:val="auto"/>
                <w:sz w:val="24"/>
                <w:szCs w:val="24"/>
                <w:lang w:val="en-US" w:eastAsia="zh-CN"/>
              </w:rPr>
              <w:t>属于住宅和工业混合区，声环境功能应划分为2类区，应符合《工业企业厂界环境噪声排放标准》的2类标准限值，即昼间60</w:t>
            </w:r>
            <w:r>
              <w:rPr>
                <w:rFonts w:hint="default" w:ascii="Times New Roman" w:hAnsi="Times New Roman" w:eastAsia="宋体" w:cs="Times New Roman"/>
                <w:bCs/>
                <w:color w:val="auto"/>
                <w:sz w:val="24"/>
                <w:szCs w:val="24"/>
              </w:rPr>
              <w:t>dB(A)</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夜间50</w:t>
            </w:r>
            <w:r>
              <w:rPr>
                <w:rFonts w:hint="default" w:ascii="Times New Roman" w:hAnsi="Times New Roman" w:eastAsia="宋体" w:cs="Times New Roman"/>
                <w:bCs/>
                <w:color w:val="auto"/>
                <w:sz w:val="24"/>
                <w:szCs w:val="24"/>
              </w:rPr>
              <w:t>dB(A)</w:t>
            </w:r>
            <w:r>
              <w:rPr>
                <w:rFonts w:hint="default" w:ascii="Times New Roman" w:hAnsi="Times New Roman" w:cs="Times New Roman"/>
                <w:bCs/>
                <w:color w:val="auto"/>
                <w:sz w:val="24"/>
                <w:szCs w:val="24"/>
                <w:lang w:eastAsia="zh-CN"/>
              </w:rPr>
              <w:t>。</w:t>
            </w:r>
          </w:p>
          <w:p>
            <w:pPr>
              <w:pStyle w:val="53"/>
              <w:keepNext w:val="0"/>
              <w:keepLines w:val="0"/>
              <w:suppressLineNumbers w:val="0"/>
              <w:spacing w:before="0" w:beforeAutospacing="0" w:after="0" w:afterAutospacing="0"/>
              <w:ind w:left="0" w:leftChars="0" w:right="0" w:firstLine="480" w:firstLineChars="200"/>
              <w:rPr>
                <w:rFonts w:hint="default"/>
                <w:color w:val="auto"/>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lang w:val="en-US" w:eastAsia="zh-CN"/>
              </w:rPr>
              <w:t>厂界声环境</w:t>
            </w:r>
            <w:r>
              <w:rPr>
                <w:rFonts w:hint="default"/>
                <w:color w:val="auto"/>
              </w:rPr>
              <w:t>预测模式</w:t>
            </w:r>
          </w:p>
          <w:p>
            <w:pPr>
              <w:pStyle w:val="53"/>
              <w:keepNext w:val="0"/>
              <w:keepLines w:val="0"/>
              <w:suppressLineNumbers w:val="0"/>
              <w:spacing w:before="0" w:beforeAutospacing="0" w:after="0" w:afterAutospacing="0"/>
              <w:ind w:left="0" w:right="0"/>
              <w:rPr>
                <w:rFonts w:hint="default"/>
                <w:color w:val="auto"/>
              </w:rPr>
            </w:pPr>
            <w:r>
              <w:rPr>
                <w:rFonts w:hint="eastAsia" w:cs="宋体"/>
                <w:color w:val="auto"/>
              </w:rPr>
              <w:t>①</w:t>
            </w:r>
            <w:r>
              <w:rPr>
                <w:rFonts w:hint="default"/>
                <w:color w:val="auto"/>
              </w:rPr>
              <w:t>室外的点声源在预测点产生的声级计算基本公式</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已知声源的倍频带声功率级，预测点位置的倍频带声压级可按下述公式计算：</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Lp(r)=Lp(r0)-A</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式中：Lp(r0)—在已知距离无指向性点声源参考点r0处倍频带声压力级，dB；</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A=Adiv+Aatm+Agr+Abar+Amisc</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式中：A—倍频带衰减，dB；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Adiv—几何发散引起的倍频带衰减，dB；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Aatm—大气吸收引起的倍频带衰减，dB；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Agr—地面效应引起的倍频带衰减，dB；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Abar—声屏障引起的倍频带衰减，dB；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Amisc—其他多方面效应引起的倍频带衰减，dB。</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无指向性点声源几何发散衰减的基本公式是：</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Lp=Lp(r0)-20log(r/r0)</w:t>
            </w:r>
          </w:p>
          <w:p>
            <w:pPr>
              <w:pStyle w:val="53"/>
              <w:keepNext w:val="0"/>
              <w:keepLines w:val="0"/>
              <w:suppressLineNumbers w:val="0"/>
              <w:spacing w:before="0" w:beforeAutospacing="0" w:after="0" w:afterAutospacing="0"/>
              <w:ind w:left="0" w:right="0"/>
              <w:rPr>
                <w:rFonts w:hint="default"/>
                <w:color w:val="auto"/>
                <w:szCs w:val="28"/>
              </w:rPr>
            </w:pPr>
            <w:r>
              <w:rPr>
                <w:rFonts w:hint="eastAsia" w:cs="宋体"/>
                <w:color w:val="auto"/>
                <w:szCs w:val="28"/>
              </w:rPr>
              <w:t>②</w:t>
            </w:r>
            <w:r>
              <w:rPr>
                <w:rFonts w:hint="default"/>
                <w:color w:val="auto"/>
                <w:szCs w:val="28"/>
              </w:rPr>
              <w:t>室内声源等效室外声源声功率级计算方法</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声源位于室内，室内声源可采用等效室外声源声功率级法进行计算。设靠近开口处(或窗户)室内、室外某倍频带的声压级分别为Lp1和Lp2。若声源所在室内声场为近似扩散声场，则室外的倍频带声压级可按下述公式近似求出：</w:t>
            </w:r>
          </w:p>
          <w:p>
            <w:pPr>
              <w:pStyle w:val="53"/>
              <w:keepNext w:val="0"/>
              <w:keepLines w:val="0"/>
              <w:suppressLineNumbers w:val="0"/>
              <w:spacing w:before="0" w:beforeAutospacing="0" w:after="0" w:afterAutospacing="0"/>
              <w:ind w:left="0" w:right="0"/>
              <w:rPr>
                <w:rFonts w:hint="default"/>
                <w:color w:val="auto"/>
                <w:szCs w:val="28"/>
              </w:rPr>
            </w:pPr>
            <w:r>
              <w:rPr>
                <w:rFonts w:hint="default"/>
                <w:color w:val="auto"/>
                <w:szCs w:val="28"/>
              </w:rPr>
              <w:t>Lp2=Lp1-(TL+6)</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式中：</w:t>
            </w:r>
            <w:r>
              <w:rPr>
                <w:rFonts w:hint="default"/>
                <w:iCs/>
                <w:color w:val="auto"/>
              </w:rPr>
              <w:t>TL</w:t>
            </w:r>
            <w:r>
              <w:rPr>
                <w:rFonts w:hint="default"/>
                <w:color w:val="auto"/>
              </w:rPr>
              <w:t>——隔墙(或窗户)倍频带的隔声量，dB。</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本项目屏障衰减主要考虑建筑衰减，根据类比资料，有门窗设置的构筑物其隔声量一般为10~25dB，预测时取</w:t>
            </w:r>
            <w:r>
              <w:rPr>
                <w:rFonts w:hint="eastAsia"/>
                <w:color w:val="auto"/>
                <w:lang w:val="en-US" w:eastAsia="zh-CN"/>
              </w:rPr>
              <w:t>25</w:t>
            </w:r>
            <w:r>
              <w:rPr>
                <w:rFonts w:hint="default"/>
                <w:color w:val="auto"/>
              </w:rPr>
              <w:t>dB；构筑物无门窗设置，其隔声量一般为20~40dB，预测时建筑隔声量取</w:t>
            </w:r>
            <w:r>
              <w:rPr>
                <w:rFonts w:hint="eastAsia"/>
                <w:color w:val="auto"/>
                <w:lang w:val="en-US" w:eastAsia="zh-CN"/>
              </w:rPr>
              <w:t>25</w:t>
            </w:r>
            <w:r>
              <w:rPr>
                <w:rFonts w:hint="default"/>
                <w:color w:val="auto"/>
              </w:rPr>
              <w:t>dB。</w:t>
            </w:r>
          </w:p>
          <w:p>
            <w:pPr>
              <w:pStyle w:val="53"/>
              <w:keepNext w:val="0"/>
              <w:keepLines w:val="0"/>
              <w:suppressLineNumbers w:val="0"/>
              <w:spacing w:before="0" w:beforeAutospacing="0" w:after="0" w:afterAutospacing="0"/>
              <w:ind w:left="0" w:right="0"/>
              <w:rPr>
                <w:rFonts w:hint="default"/>
                <w:color w:val="auto"/>
              </w:rPr>
            </w:pPr>
            <w:r>
              <w:rPr>
                <w:rFonts w:hint="eastAsia"/>
                <w:color w:val="auto"/>
              </w:rPr>
              <w:fldChar w:fldCharType="begin"/>
            </w:r>
            <w:r>
              <w:rPr>
                <w:rFonts w:hint="default"/>
                <w:color w:val="auto"/>
              </w:rPr>
              <w:instrText xml:space="preserve"> = 3 \* GB3 \* MERGEFORMAT </w:instrText>
            </w:r>
            <w:r>
              <w:rPr>
                <w:rFonts w:hint="eastAsia"/>
                <w:color w:val="auto"/>
              </w:rPr>
              <w:fldChar w:fldCharType="separate"/>
            </w:r>
            <w:r>
              <w:rPr>
                <w:rFonts w:hint="eastAsia" w:cs="宋体"/>
                <w:color w:val="auto"/>
              </w:rPr>
              <w:t>③</w:t>
            </w:r>
            <w:r>
              <w:rPr>
                <w:rFonts w:hint="eastAsia" w:cs="宋体"/>
                <w:color w:val="auto"/>
              </w:rPr>
              <w:fldChar w:fldCharType="end"/>
            </w:r>
            <w:r>
              <w:rPr>
                <w:rFonts w:hint="default"/>
                <w:color w:val="auto"/>
              </w:rPr>
              <w:t>空气吸收衰减Aair</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空气对声波的衰减在很大程度上取决于声波的频率和空气的相对湿度，而与空气的温度关系并不很大。Aair可直接查表获得。</w:t>
            </w:r>
          </w:p>
          <w:p>
            <w:pPr>
              <w:pStyle w:val="53"/>
              <w:keepNext w:val="0"/>
              <w:keepLines w:val="0"/>
              <w:suppressLineNumbers w:val="0"/>
              <w:spacing w:before="0" w:beforeAutospacing="0" w:after="0" w:afterAutospacing="0"/>
              <w:ind w:left="0" w:right="0"/>
              <w:rPr>
                <w:rFonts w:hint="default"/>
                <w:color w:val="auto"/>
              </w:rPr>
            </w:pPr>
            <w:r>
              <w:rPr>
                <w:rFonts w:hint="eastAsia" w:cs="宋体"/>
                <w:color w:val="auto"/>
              </w:rPr>
              <w:t>④</w:t>
            </w:r>
            <w:r>
              <w:rPr>
                <w:rFonts w:hint="default"/>
                <w:color w:val="auto"/>
              </w:rPr>
              <w:t>叠加影响</w:t>
            </w:r>
          </w:p>
          <w:p>
            <w:pPr>
              <w:pStyle w:val="53"/>
              <w:keepNext w:val="0"/>
              <w:keepLines w:val="0"/>
              <w:suppressLineNumbers w:val="0"/>
              <w:spacing w:before="0" w:beforeAutospacing="0" w:after="0" w:afterAutospacing="0"/>
              <w:ind w:left="0" w:right="0"/>
              <w:rPr>
                <w:rFonts w:hint="default"/>
                <w:color w:val="auto"/>
              </w:rPr>
            </w:pPr>
            <w:r>
              <w:rPr>
                <w:rFonts w:hint="default"/>
                <w:color w:val="auto"/>
              </w:rPr>
              <w:t>如有多个声源，则逐个计算其对受声点的影响，声压级的叠加按下式计算：</w:t>
            </w:r>
          </w:p>
          <w:p>
            <w:pPr>
              <w:pStyle w:val="53"/>
              <w:keepNext w:val="0"/>
              <w:keepLines w:val="0"/>
              <w:suppressLineNumbers w:val="0"/>
              <w:spacing w:before="0" w:beforeAutospacing="0" w:after="0" w:afterAutospacing="0"/>
              <w:ind w:left="0" w:right="0"/>
              <w:rPr>
                <w:rFonts w:hint="default"/>
                <w:color w:val="auto"/>
              </w:rPr>
            </w:pPr>
            <w:r>
              <w:rPr>
                <w:rFonts w:hint="default"/>
                <w:color w:val="auto"/>
                <w:position w:val="-28"/>
              </w:rPr>
              <w:object>
                <v:shape id="_x0000_i1025" o:spt="75" type="#_x0000_t75" style="height:36pt;width:132.75pt;" o:ole="t" filled="f" o:preferrelative="t" stroked="f" coordsize="21600,21600">
                  <v:path/>
                  <v:fill on="f"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pStyle w:val="53"/>
              <w:keepNext w:val="0"/>
              <w:keepLines w:val="0"/>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预测参数</w:t>
            </w:r>
          </w:p>
          <w:p>
            <w:pPr>
              <w:pStyle w:val="53"/>
              <w:keepNext w:val="0"/>
              <w:keepLines w:val="0"/>
              <w:suppressLineNumbers w:val="0"/>
              <w:spacing w:before="0" w:beforeAutospacing="0" w:after="0" w:afterAutospacing="0"/>
              <w:ind w:left="0" w:right="0"/>
              <w:rPr>
                <w:rFonts w:hint="eastAsia" w:ascii="宋体" w:hAnsi="宋体" w:eastAsia="宋体" w:cs="宋体"/>
                <w:b w:val="0"/>
                <w:bCs/>
                <w:color w:val="auto"/>
                <w:sz w:val="24"/>
                <w:szCs w:val="24"/>
                <w:highlight w:val="none"/>
                <w:lang w:val="en-US" w:eastAsia="zh-CN"/>
              </w:rPr>
            </w:pPr>
            <w:r>
              <w:rPr>
                <w:rFonts w:hint="default"/>
                <w:color w:val="auto"/>
              </w:rPr>
              <w:t>按现有的厂区总图布置方案，根据上述模型预测计算，预测项目营运期厂界噪声值。为简化计算，不考虑除几何衰减外的其它影响，根据公</w:t>
            </w:r>
            <w:r>
              <w:rPr>
                <w:rFonts w:hint="eastAsia"/>
                <w:color w:val="auto"/>
              </w:rPr>
              <w:t>式</w:t>
            </w:r>
            <w:r>
              <w:rPr>
                <w:rFonts w:hint="eastAsia" w:cs="宋体"/>
                <w:color w:val="auto"/>
              </w:rPr>
              <w:t>④</w:t>
            </w:r>
            <w:r>
              <w:rPr>
                <w:rFonts w:hint="default"/>
                <w:color w:val="auto"/>
              </w:rPr>
              <w:t>，车间内声源叠加后值为</w:t>
            </w:r>
            <w:r>
              <w:rPr>
                <w:rFonts w:hint="eastAsia"/>
                <w:color w:val="auto"/>
                <w:highlight w:val="none"/>
                <w:lang w:val="en-US" w:eastAsia="zh-CN"/>
              </w:rPr>
              <w:t>80.9</w:t>
            </w:r>
            <w:r>
              <w:rPr>
                <w:rFonts w:hint="default"/>
                <w:color w:val="auto"/>
                <w:highlight w:val="none"/>
              </w:rPr>
              <w:t>dB，根据公式</w:t>
            </w:r>
            <w:r>
              <w:rPr>
                <w:rFonts w:hint="eastAsia" w:cs="宋体"/>
                <w:color w:val="auto"/>
                <w:szCs w:val="28"/>
                <w:highlight w:val="none"/>
              </w:rPr>
              <w:t>②</w:t>
            </w:r>
            <w:r>
              <w:rPr>
                <w:rFonts w:hint="default"/>
                <w:color w:val="auto"/>
                <w:highlight w:val="none"/>
              </w:rPr>
              <w:t>，按照有门窗设置的构筑物其隔声量一般为10~25dB，预测时取2</w:t>
            </w:r>
            <w:r>
              <w:rPr>
                <w:rFonts w:hint="eastAsia"/>
                <w:color w:val="auto"/>
                <w:highlight w:val="none"/>
                <w:lang w:val="en-US" w:eastAsia="zh-CN"/>
              </w:rPr>
              <w:t>5</w:t>
            </w:r>
            <w:r>
              <w:rPr>
                <w:rFonts w:hint="default"/>
                <w:color w:val="auto"/>
                <w:highlight w:val="none"/>
              </w:rPr>
              <w:t>dB；构筑物无门窗设置，其隔声量一般为20~40dB，预测时建筑隔声量取2</w:t>
            </w:r>
            <w:r>
              <w:rPr>
                <w:rFonts w:hint="eastAsia"/>
                <w:color w:val="auto"/>
                <w:highlight w:val="none"/>
                <w:lang w:val="en-US" w:eastAsia="zh-CN"/>
              </w:rPr>
              <w:t>5</w:t>
            </w:r>
            <w:r>
              <w:rPr>
                <w:rFonts w:hint="default"/>
                <w:color w:val="auto"/>
                <w:highlight w:val="none"/>
              </w:rPr>
              <w:t>dB，则本车间内噪声传播到车间外后噪声为</w:t>
            </w:r>
            <w:r>
              <w:rPr>
                <w:rFonts w:hint="eastAsia"/>
                <w:color w:val="auto"/>
                <w:highlight w:val="none"/>
                <w:lang w:val="en-US" w:eastAsia="zh-CN"/>
              </w:rPr>
              <w:t>55.9</w:t>
            </w:r>
            <w:r>
              <w:rPr>
                <w:rFonts w:hint="default"/>
                <w:color w:val="auto"/>
                <w:highlight w:val="none"/>
              </w:rPr>
              <w:t>dB，</w:t>
            </w:r>
            <w:r>
              <w:rPr>
                <w:rFonts w:hint="default" w:ascii="Times New Roman" w:hAnsi="Times New Roman"/>
                <w:color w:val="auto"/>
                <w:highlight w:val="none"/>
              </w:rPr>
              <w:t>本项目夜间不生产，所以，只预测昼间噪声，预测结果详见表</w:t>
            </w:r>
            <w:r>
              <w:rPr>
                <w:rFonts w:hint="eastAsia" w:ascii="Times New Roman" w:hAnsi="Times New Roman"/>
                <w:color w:val="auto"/>
                <w:highlight w:val="none"/>
                <w:lang w:val="en-US" w:eastAsia="zh-CN"/>
              </w:rPr>
              <w:t>4-9</w:t>
            </w:r>
            <w:r>
              <w:rPr>
                <w:rFonts w:hint="default"/>
                <w:color w:val="auto"/>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b w:val="0"/>
                <w:bCs/>
                <w:color w:val="auto"/>
                <w:sz w:val="24"/>
                <w:szCs w:val="24"/>
                <w:lang w:val="en-US" w:eastAsia="zh-CN"/>
              </w:rPr>
            </w:pPr>
            <w:r>
              <w:rPr>
                <w:rFonts w:hint="eastAsia" w:ascii="宋体" w:hAnsi="宋体" w:eastAsia="宋体" w:cs="宋体"/>
                <w:b/>
                <w:bCs w:val="0"/>
                <w:color w:val="auto"/>
                <w:sz w:val="24"/>
                <w:szCs w:val="24"/>
                <w:lang w:val="en-US" w:eastAsia="zh-CN"/>
              </w:rPr>
              <w:t>表4-</w:t>
            </w:r>
            <w:r>
              <w:rPr>
                <w:rFonts w:hint="eastAsia" w:ascii="宋体" w:hAnsi="宋体" w:cs="宋体"/>
                <w:b/>
                <w:bCs w:val="0"/>
                <w:color w:val="auto"/>
                <w:sz w:val="24"/>
                <w:szCs w:val="24"/>
                <w:lang w:val="en-US" w:eastAsia="zh-CN"/>
              </w:rPr>
              <w:t>9</w:t>
            </w:r>
            <w:r>
              <w:rPr>
                <w:rFonts w:hint="eastAsia" w:ascii="宋体" w:hAnsi="宋体" w:eastAsia="宋体" w:cs="宋体"/>
                <w:b/>
                <w:bCs w:val="0"/>
                <w:color w:val="auto"/>
                <w:sz w:val="24"/>
                <w:szCs w:val="24"/>
                <w:lang w:val="en-US" w:eastAsia="zh-CN"/>
              </w:rPr>
              <w:t>本项目噪声预测值表</w:t>
            </w:r>
            <w:r>
              <w:rPr>
                <w:rFonts w:hint="eastAsia" w:ascii="宋体" w:hAnsi="宋体" w:eastAsia="宋体" w:cs="宋体"/>
                <w:b w:val="0"/>
                <w:bCs/>
                <w:color w:val="auto"/>
                <w:sz w:val="24"/>
                <w:szCs w:val="24"/>
                <w:lang w:val="en-US" w:eastAsia="zh-CN"/>
              </w:rPr>
              <w:t>（单位dB(A)）</w:t>
            </w:r>
          </w:p>
          <w:tbl>
            <w:tblPr>
              <w:tblStyle w:val="23"/>
              <w:tblW w:w="8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590"/>
              <w:gridCol w:w="1590"/>
              <w:gridCol w:w="1590"/>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9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预测点</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东侧厂界外1m</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西侧厂界外1m</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南侧厂界外1m</w:t>
                  </w:r>
                </w:p>
              </w:tc>
              <w:tc>
                <w:tcPr>
                  <w:tcW w:w="159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北侧厂界外1m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9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噪声源与预测点的距离</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1</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37</w:t>
                  </w:r>
                </w:p>
              </w:tc>
              <w:tc>
                <w:tcPr>
                  <w:tcW w:w="159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9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噪声贡献值</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55.9</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55.9</w:t>
                  </w:r>
                </w:p>
              </w:tc>
              <w:tc>
                <w:tcPr>
                  <w:tcW w:w="159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24.5</w:t>
                  </w:r>
                </w:p>
              </w:tc>
              <w:tc>
                <w:tcPr>
                  <w:tcW w:w="159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55.9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97"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2类区标准值</w:t>
                  </w:r>
                </w:p>
              </w:tc>
              <w:tc>
                <w:tcPr>
                  <w:tcW w:w="6363" w:type="dxa"/>
                  <w:gridSpan w:val="4"/>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宋体" w:hAnsi="宋体" w:eastAsia="宋体" w:cs="宋体"/>
                      <w:b w:val="0"/>
                      <w:bCs/>
                      <w:color w:val="auto"/>
                      <w:sz w:val="21"/>
                      <w:szCs w:val="21"/>
                      <w:vertAlign w:val="baseline"/>
                      <w:lang w:val="en-US" w:eastAsia="zh-CN"/>
                    </w:rPr>
                  </w:pPr>
                  <w:r>
                    <w:rPr>
                      <w:rFonts w:hint="eastAsia"/>
                      <w:bCs/>
                      <w:color w:val="auto"/>
                      <w:kern w:val="0"/>
                      <w:szCs w:val="21"/>
                    </w:rPr>
                    <w:t>《工业企业厂界环境噪声排放标准》（</w:t>
                  </w:r>
                  <w:r>
                    <w:rPr>
                      <w:rFonts w:hint="default"/>
                      <w:bCs/>
                      <w:color w:val="auto"/>
                      <w:kern w:val="0"/>
                      <w:szCs w:val="21"/>
                    </w:rPr>
                    <w:t>GB12348—2008</w:t>
                  </w:r>
                  <w:r>
                    <w:rPr>
                      <w:rFonts w:hint="eastAsia"/>
                      <w:bCs/>
                      <w:color w:val="auto"/>
                      <w:kern w:val="0"/>
                      <w:szCs w:val="21"/>
                    </w:rPr>
                    <w:t>）中</w:t>
                  </w:r>
                  <w:r>
                    <w:rPr>
                      <w:rFonts w:hint="default"/>
                      <w:color w:val="auto"/>
                      <w:szCs w:val="21"/>
                    </w:rPr>
                    <w:t xml:space="preserve">2类：昼间≤60 </w:t>
                  </w:r>
                  <w:r>
                    <w:rPr>
                      <w:rFonts w:hint="eastAsia"/>
                      <w:color w:val="auto"/>
                      <w:szCs w:val="21"/>
                      <w:lang w:eastAsia="zh-CN"/>
                    </w:rPr>
                    <w:t>，</w:t>
                  </w:r>
                  <w:r>
                    <w:rPr>
                      <w:rFonts w:hint="default"/>
                      <w:color w:val="auto"/>
                      <w:szCs w:val="21"/>
                    </w:rPr>
                    <w:t>夜间≤50</w:t>
                  </w:r>
                  <w:r>
                    <w:rPr>
                      <w:rFonts w:hint="eastAsia"/>
                      <w:color w:val="auto"/>
                      <w:szCs w:val="21"/>
                    </w:rPr>
                    <w:t>；</w:t>
                  </w:r>
                </w:p>
              </w:tc>
            </w:tr>
          </w:tbl>
          <w:p>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rPr>
              <w:t>监测要求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参照《排污单位自行监测技术指南总则》(HJ819-2017)，厂界环境噪声每季度至少开展一次监测，昼间(6:00~22:00)、夜间(22:00~次日6:00)各一次。监测点位为东、南、西、北侧厂界围封闭外1m处。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lang w:val="en-US"/>
              </w:rPr>
            </w:pPr>
            <w:r>
              <w:rPr>
                <w:rFonts w:hint="default" w:ascii="Times New Roman" w:hAnsi="Times New Roman" w:eastAsia="宋体" w:cs="Times New Roman"/>
                <w:b/>
                <w:bCs w:val="0"/>
                <w:color w:val="auto"/>
                <w:sz w:val="24"/>
                <w:szCs w:val="24"/>
                <w:lang w:val="en-US" w:eastAsia="zh-CN"/>
              </w:rPr>
              <w:t>四、固体废物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本</w:t>
            </w:r>
            <w:r>
              <w:rPr>
                <w:rFonts w:hint="default" w:ascii="Times New Roman" w:hAnsi="Times New Roman" w:eastAsia="宋体" w:cs="Times New Roman"/>
                <w:bCs/>
                <w:color w:val="auto"/>
                <w:sz w:val="24"/>
                <w:szCs w:val="24"/>
                <w:lang w:val="en-US" w:eastAsia="zh-CN"/>
              </w:rPr>
              <w:t>项目运营期间</w:t>
            </w:r>
            <w:r>
              <w:rPr>
                <w:rFonts w:hint="default" w:ascii="Times New Roman" w:hAnsi="Times New Roman" w:eastAsia="宋体" w:cs="Times New Roman"/>
                <w:bCs/>
                <w:color w:val="auto"/>
                <w:sz w:val="24"/>
                <w:szCs w:val="24"/>
                <w:lang w:eastAsia="zh-CN"/>
              </w:rPr>
              <w:t>产生的</w:t>
            </w:r>
            <w:r>
              <w:rPr>
                <w:rFonts w:hint="default" w:ascii="Times New Roman" w:hAnsi="Times New Roman" w:eastAsia="宋体" w:cs="Times New Roman"/>
                <w:bCs/>
                <w:color w:val="auto"/>
                <w:sz w:val="24"/>
                <w:szCs w:val="24"/>
                <w:lang w:val="en-US" w:eastAsia="zh-CN"/>
              </w:rPr>
              <w:t>固体废物</w:t>
            </w:r>
            <w:r>
              <w:rPr>
                <w:rFonts w:hint="default" w:ascii="Times New Roman" w:hAnsi="Times New Roman" w:cs="Times New Roman"/>
                <w:bCs/>
                <w:color w:val="auto"/>
                <w:sz w:val="24"/>
                <w:szCs w:val="24"/>
                <w:lang w:val="en-US" w:eastAsia="zh-CN"/>
              </w:rPr>
              <w:t>主要有</w:t>
            </w:r>
            <w:r>
              <w:rPr>
                <w:rFonts w:hint="default" w:ascii="Times New Roman" w:hAnsi="Times New Roman" w:eastAsia="宋体" w:cs="Times New Roman"/>
                <w:bCs/>
                <w:color w:val="auto"/>
                <w:sz w:val="24"/>
                <w:szCs w:val="24"/>
                <w:lang w:val="en-US" w:eastAsia="zh-CN"/>
              </w:rPr>
              <w:t>职工的</w:t>
            </w:r>
            <w:r>
              <w:rPr>
                <w:rFonts w:hint="default" w:ascii="Times New Roman" w:hAnsi="Times New Roman" w:eastAsia="宋体" w:cs="Times New Roman"/>
                <w:bCs/>
                <w:color w:val="auto"/>
                <w:sz w:val="24"/>
                <w:szCs w:val="24"/>
                <w:lang w:eastAsia="zh-CN"/>
              </w:rPr>
              <w:t>生活垃圾、废包装</w:t>
            </w:r>
            <w:r>
              <w:rPr>
                <w:rFonts w:hint="default" w:ascii="Times New Roman" w:hAnsi="Times New Roman" w:eastAsia="宋体" w:cs="Times New Roman"/>
                <w:bCs/>
                <w:color w:val="auto"/>
                <w:sz w:val="24"/>
                <w:szCs w:val="24"/>
                <w:lang w:val="en-US" w:eastAsia="zh-CN"/>
              </w:rPr>
              <w:t>袋及处理VOCs的废活性炭。</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生活垃圾</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本项目职工10人，</w:t>
            </w:r>
            <w:r>
              <w:rPr>
                <w:rFonts w:hint="default" w:ascii="Times New Roman" w:hAnsi="Times New Roman" w:eastAsia="宋体" w:cs="Times New Roman"/>
                <w:bCs/>
                <w:color w:val="auto"/>
                <w:sz w:val="24"/>
                <w:szCs w:val="24"/>
              </w:rPr>
              <w:t>按</w:t>
            </w:r>
            <w:r>
              <w:rPr>
                <w:rFonts w:hint="default"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.5kg</w:t>
            </w:r>
            <w:r>
              <w:rPr>
                <w:rFonts w:hint="default" w:ascii="Times New Roman" w:hAnsi="Times New Roman" w:eastAsia="宋体" w:cs="Times New Roman"/>
                <w:bCs/>
                <w:color w:val="auto"/>
                <w:sz w:val="24"/>
                <w:szCs w:val="24"/>
                <w:lang w:val="en-US" w:eastAsia="zh-CN"/>
              </w:rPr>
              <w:t>/d·人计，</w:t>
            </w:r>
            <w:r>
              <w:rPr>
                <w:rFonts w:hint="default" w:ascii="Times New Roman" w:hAnsi="Times New Roman" w:eastAsia="宋体" w:cs="Times New Roman"/>
                <w:bCs/>
                <w:color w:val="auto"/>
                <w:sz w:val="24"/>
                <w:szCs w:val="24"/>
              </w:rPr>
              <w:t>生活垃圾</w:t>
            </w:r>
            <w:r>
              <w:rPr>
                <w:rFonts w:hint="default" w:ascii="Times New Roman" w:hAnsi="Times New Roman" w:eastAsia="宋体" w:cs="Times New Roman"/>
                <w:bCs/>
                <w:color w:val="auto"/>
                <w:sz w:val="24"/>
                <w:szCs w:val="24"/>
                <w:lang w:val="en-US" w:eastAsia="zh-CN"/>
              </w:rPr>
              <w:t>的产生</w:t>
            </w:r>
            <w:r>
              <w:rPr>
                <w:rFonts w:hint="default" w:ascii="Times New Roman" w:hAnsi="Times New Roman" w:eastAsia="宋体" w:cs="Times New Roman"/>
                <w:bCs/>
                <w:color w:val="auto"/>
                <w:sz w:val="24"/>
                <w:szCs w:val="24"/>
              </w:rPr>
              <w:t>量</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kg/d</w:t>
            </w:r>
            <w:r>
              <w:rPr>
                <w:rFonts w:hint="default" w:ascii="Times New Roman" w:hAnsi="Times New Roman" w:eastAsia="宋体" w:cs="Times New Roman"/>
                <w:bCs/>
                <w:color w:val="auto"/>
                <w:sz w:val="24"/>
                <w:szCs w:val="24"/>
                <w:lang w:eastAsia="zh-CN"/>
              </w:rPr>
              <w:t>（</w:t>
            </w:r>
            <w:r>
              <w:rPr>
                <w:rFonts w:hint="eastAsia" w:cs="Times New Roman"/>
                <w:bCs/>
                <w:color w:val="auto"/>
                <w:sz w:val="24"/>
                <w:szCs w:val="24"/>
                <w:lang w:val="en-US" w:eastAsia="zh-CN"/>
              </w:rPr>
              <w:t>0</w:t>
            </w:r>
            <w:r>
              <w:rPr>
                <w:rFonts w:hint="default" w:ascii="Times New Roman" w:hAnsi="Times New Roman" w:eastAsia="宋体" w:cs="Times New Roman"/>
                <w:bCs/>
                <w:color w:val="auto"/>
                <w:sz w:val="24"/>
                <w:szCs w:val="24"/>
                <w:lang w:val="en-US" w:eastAsia="zh-CN"/>
              </w:rPr>
              <w:t>.5t/a）</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集中收集，交由环卫部门处理。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(2)废包装袋</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塑料颗粒拆包后产生废包装袋，塑料颗粒用量为</w:t>
            </w:r>
            <w:r>
              <w:rPr>
                <w:rFonts w:hint="eastAsia"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00t/a，25kg包的包装袋重量</w:t>
            </w:r>
            <w:r>
              <w:rPr>
                <w:rFonts w:hint="default" w:ascii="Times New Roman" w:hAnsi="Times New Roman" w:cs="Times New Roman"/>
                <w:bCs/>
                <w:color w:val="auto"/>
                <w:sz w:val="24"/>
                <w:szCs w:val="24"/>
                <w:lang w:val="en-US" w:eastAsia="zh-CN"/>
              </w:rPr>
              <w:t>按</w:t>
            </w:r>
            <w:r>
              <w:rPr>
                <w:rFonts w:hint="default" w:ascii="Times New Roman" w:hAnsi="Times New Roman" w:eastAsia="宋体" w:cs="Times New Roman"/>
                <w:bCs/>
                <w:color w:val="auto"/>
                <w:sz w:val="24"/>
                <w:szCs w:val="24"/>
                <w:lang w:val="en-US" w:eastAsia="zh-CN"/>
              </w:rPr>
              <w:t>0.1kg</w:t>
            </w:r>
            <w:r>
              <w:rPr>
                <w:rFonts w:hint="default" w:ascii="Times New Roman" w:hAnsi="Times New Roman" w:cs="Times New Roman"/>
                <w:bCs/>
                <w:color w:val="auto"/>
                <w:sz w:val="24"/>
                <w:szCs w:val="24"/>
                <w:lang w:val="en-US" w:eastAsia="zh-CN"/>
              </w:rPr>
              <w:t>计</w:t>
            </w:r>
            <w:r>
              <w:rPr>
                <w:rFonts w:hint="default" w:ascii="Times New Roman" w:hAnsi="Times New Roman" w:eastAsia="宋体" w:cs="Times New Roman"/>
                <w:bCs/>
                <w:color w:val="auto"/>
                <w:sz w:val="24"/>
                <w:szCs w:val="24"/>
                <w:lang w:val="en-US" w:eastAsia="zh-CN"/>
              </w:rPr>
              <w:t>，则</w:t>
            </w:r>
            <w:r>
              <w:rPr>
                <w:rFonts w:hint="default" w:ascii="Times New Roman" w:hAnsi="Times New Roman" w:cs="Times New Roman"/>
                <w:bCs/>
                <w:color w:val="auto"/>
                <w:sz w:val="24"/>
                <w:szCs w:val="24"/>
                <w:lang w:val="en-US" w:eastAsia="zh-CN"/>
              </w:rPr>
              <w:t>本项目</w:t>
            </w:r>
            <w:r>
              <w:rPr>
                <w:rFonts w:hint="default" w:ascii="Times New Roman" w:hAnsi="Times New Roman" w:eastAsia="宋体" w:cs="Times New Roman"/>
                <w:bCs/>
                <w:color w:val="auto"/>
                <w:sz w:val="24"/>
                <w:szCs w:val="24"/>
              </w:rPr>
              <w:t>产生</w:t>
            </w:r>
            <w:r>
              <w:rPr>
                <w:rFonts w:hint="default" w:ascii="Times New Roman" w:hAnsi="Times New Roman" w:eastAsia="宋体" w:cs="Times New Roman"/>
                <w:bCs/>
                <w:color w:val="auto"/>
                <w:sz w:val="24"/>
                <w:szCs w:val="24"/>
                <w:lang w:val="en-US" w:eastAsia="zh-CN"/>
              </w:rPr>
              <w:t>废</w:t>
            </w:r>
            <w:r>
              <w:rPr>
                <w:rFonts w:hint="default" w:ascii="Times New Roman" w:hAnsi="Times New Roman" w:eastAsia="宋体" w:cs="Times New Roman"/>
                <w:bCs/>
                <w:color w:val="auto"/>
                <w:sz w:val="24"/>
                <w:szCs w:val="24"/>
                <w:lang w:eastAsia="zh-CN"/>
              </w:rPr>
              <w:t>包装</w:t>
            </w:r>
            <w:r>
              <w:rPr>
                <w:rFonts w:hint="default" w:ascii="Times New Roman" w:hAnsi="Times New Roman" w:eastAsia="宋体" w:cs="Times New Roman"/>
                <w:bCs/>
                <w:color w:val="auto"/>
                <w:sz w:val="24"/>
                <w:szCs w:val="24"/>
                <w:lang w:val="en-US" w:eastAsia="zh-CN"/>
              </w:rPr>
              <w:t>袋为</w:t>
            </w:r>
            <w:r>
              <w:rPr>
                <w:rFonts w:hint="eastAsia" w:cs="Times New Roman"/>
                <w:b w:val="0"/>
                <w:bCs/>
                <w:color w:val="auto"/>
                <w:sz w:val="24"/>
                <w:szCs w:val="24"/>
                <w:lang w:val="en-US" w:eastAsia="zh-CN"/>
              </w:rPr>
              <w:t>0.8</w:t>
            </w:r>
            <w:r>
              <w:rPr>
                <w:rFonts w:hint="default" w:ascii="Times New Roman" w:hAnsi="Times New Roman" w:eastAsia="宋体" w:cs="Times New Roman"/>
                <w:b w:val="0"/>
                <w:bCs/>
                <w:color w:val="auto"/>
                <w:sz w:val="24"/>
                <w:szCs w:val="24"/>
                <w:lang w:val="en-US" w:eastAsia="zh-CN"/>
              </w:rPr>
              <w:t>t</w:t>
            </w:r>
            <w:r>
              <w:rPr>
                <w:rFonts w:hint="default" w:ascii="Times New Roman" w:hAnsi="Times New Roman" w:eastAsia="宋体" w:cs="Times New Roman"/>
                <w:b w:val="0"/>
                <w:bCs/>
                <w:color w:val="auto"/>
                <w:sz w:val="24"/>
                <w:szCs w:val="24"/>
              </w:rPr>
              <w:t>/a。</w:t>
            </w:r>
            <w:r>
              <w:rPr>
                <w:rFonts w:hint="default" w:ascii="Times New Roman" w:hAnsi="Times New Roman" w:eastAsia="宋体" w:cs="Times New Roman"/>
                <w:b w:val="0"/>
                <w:bCs/>
                <w:color w:val="auto"/>
                <w:sz w:val="24"/>
                <w:szCs w:val="24"/>
                <w:lang w:val="en-US" w:eastAsia="zh-CN"/>
              </w:rPr>
              <w:t>集中收集，外</w:t>
            </w:r>
            <w:r>
              <w:rPr>
                <w:rFonts w:hint="default" w:ascii="Times New Roman" w:hAnsi="Times New Roman" w:eastAsia="宋体" w:cs="Times New Roman"/>
                <w:bCs/>
                <w:color w:val="auto"/>
                <w:sz w:val="24"/>
                <w:szCs w:val="24"/>
                <w:lang w:val="en-US" w:eastAsia="zh-CN"/>
              </w:rPr>
              <w:t>售给废品回收站。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auto"/>
                <w:sz w:val="24"/>
                <w:szCs w:val="24"/>
                <w:lang w:val="en-US" w:eastAsia="zh-CN"/>
              </w:rPr>
              <w:t>(3)废活性炭：本项目处理VOCs 产生的废活性炭为危险废物，废物代码为900-039-49。</w:t>
            </w:r>
            <w:r>
              <w:rPr>
                <w:rFonts w:hint="default" w:ascii="Times New Roman" w:hAnsi="Times New Roman" w:cs="Times New Roman"/>
                <w:bCs/>
                <w:color w:val="auto"/>
                <w:sz w:val="24"/>
                <w:szCs w:val="24"/>
                <w:lang w:val="en-US" w:eastAsia="zh-CN"/>
              </w:rPr>
              <w:t>活性炭30天更换一</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次</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活性炭箱重量为0.25t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本项目生产时间为100天，</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则本项目活性炭每年使用量为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t/a。</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废活性炭收集后暂存在危废间，交由有资质的单位处理。</w:t>
            </w:r>
          </w:p>
          <w:p>
            <w:pPr>
              <w:pStyle w:val="52"/>
              <w:keepNext w:val="0"/>
              <w:keepLines w:val="0"/>
              <w:suppressLineNumbers w:val="0"/>
              <w:spacing w:before="0" w:beforeAutospacing="0" w:after="0" w:afterAutospacing="0" w:line="360" w:lineRule="auto"/>
              <w:ind w:left="0" w:right="0"/>
              <w:rPr>
                <w:rFonts w:hint="default" w:ascii="Times New Roman" w:hAnsi="Times New Roman" w:cs="Times New Roman"/>
                <w:lang w:val="en-US"/>
              </w:rPr>
            </w:pPr>
            <w:r>
              <w:rPr>
                <w:rFonts w:hint="default" w:ascii="Times New Roman" w:hAnsi="Times New Roman" w:cs="Times New Roman"/>
                <w:bCs/>
                <w:color w:val="000000" w:themeColor="text1"/>
                <w:sz w:val="24"/>
                <w:szCs w:val="24"/>
                <w:lang w:val="en-US" w:eastAsia="zh-CN"/>
                <w14:textFill>
                  <w14:solidFill>
                    <w14:schemeClr w14:val="tx1"/>
                  </w14:solidFill>
                </w14:textFill>
              </w:rPr>
              <w:t>（4）废机油：设备定期检修，产生的</w:t>
            </w:r>
            <w:r>
              <w:rPr>
                <w:rFonts w:hint="default" w:ascii="Times New Roman" w:hAnsi="Times New Roman" w:eastAsia="宋体" w:cs="Times New Roman"/>
                <w:color w:val="auto"/>
                <w:sz w:val="24"/>
                <w:szCs w:val="24"/>
                <w:lang w:val="en-US" w:eastAsia="zh-CN"/>
              </w:rPr>
              <w:t>废机油暂存在危废间，</w:t>
            </w:r>
            <w:r>
              <w:rPr>
                <w:rFonts w:hint="default" w:ascii="Times New Roman" w:hAnsi="Times New Roman" w:cs="Times New Roman"/>
                <w:color w:val="auto"/>
                <w:sz w:val="24"/>
                <w:szCs w:val="24"/>
                <w:lang w:val="en-US" w:eastAsia="zh-CN"/>
              </w:rPr>
              <w:t>类比同类向母废机油产生量约为0.02t/a，</w:t>
            </w:r>
            <w:r>
              <w:rPr>
                <w:rFonts w:hint="default" w:ascii="Times New Roman" w:hAnsi="Times New Roman" w:eastAsia="宋体" w:cs="Times New Roman"/>
                <w:color w:val="auto"/>
                <w:sz w:val="24"/>
                <w:szCs w:val="24"/>
                <w:lang w:val="en-US" w:eastAsia="zh-CN"/>
              </w:rPr>
              <w:t>危险废物需交由有资质的单位处理，设备维修产生的</w:t>
            </w:r>
            <w:r>
              <w:rPr>
                <w:rFonts w:hint="default" w:ascii="Times New Roman" w:hAnsi="Times New Roman" w:cs="Times New Roman"/>
                <w:b w:val="0"/>
                <w:bCs w:val="0"/>
                <w:color w:val="auto"/>
                <w:sz w:val="24"/>
                <w:szCs w:val="24"/>
              </w:rPr>
              <w:t>含油抹布符合《国家危险废物名录(2019年版)》豁免条件，</w:t>
            </w:r>
            <w:r>
              <w:rPr>
                <w:rFonts w:hint="default" w:ascii="Times New Roman" w:hAnsi="Times New Roman" w:cs="Times New Roman"/>
                <w:b w:val="0"/>
                <w:bCs w:val="0"/>
                <w:color w:val="auto"/>
                <w:sz w:val="24"/>
                <w:szCs w:val="24"/>
                <w:lang w:val="en-US" w:eastAsia="zh-CN"/>
              </w:rPr>
              <w:t>收集后</w:t>
            </w:r>
            <w:r>
              <w:rPr>
                <w:rFonts w:hint="default" w:ascii="Times New Roman" w:hAnsi="Times New Roman" w:cs="Times New Roman"/>
                <w:b w:val="0"/>
                <w:bCs w:val="0"/>
                <w:color w:val="auto"/>
                <w:sz w:val="24"/>
                <w:szCs w:val="24"/>
              </w:rPr>
              <w:t>可</w:t>
            </w:r>
            <w:r>
              <w:rPr>
                <w:rFonts w:hint="default" w:ascii="Times New Roman" w:hAnsi="Times New Roman" w:cs="Times New Roman"/>
                <w:b w:val="0"/>
                <w:bCs w:val="0"/>
                <w:color w:val="auto"/>
                <w:sz w:val="24"/>
                <w:szCs w:val="24"/>
                <w:lang w:val="en-US" w:eastAsia="zh-CN"/>
              </w:rPr>
              <w:t>交</w:t>
            </w:r>
            <w:r>
              <w:rPr>
                <w:rFonts w:hint="default" w:ascii="Times New Roman" w:hAnsi="Times New Roman" w:cs="Times New Roman"/>
                <w:b w:val="0"/>
                <w:bCs w:val="0"/>
                <w:color w:val="auto"/>
                <w:sz w:val="24"/>
                <w:szCs w:val="24"/>
              </w:rPr>
              <w:t>由环卫部门定期清运；</w:t>
            </w:r>
            <w:r>
              <w:rPr>
                <w:rFonts w:hint="default" w:ascii="Times New Roman" w:hAnsi="Times New Roman" w:eastAsia="宋体" w:cs="Times New Roman"/>
                <w:bCs/>
                <w:color w:val="auto"/>
                <w:sz w:val="24"/>
                <w:szCs w:val="24"/>
                <w:lang w:val="en-US" w:eastAsia="zh-CN"/>
              </w:rPr>
              <w:t>废机油属于HW08类危险废物，代码为900-214-08。</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rPr>
              <w:t>固体废物产生情况汇总表</w:t>
            </w:r>
          </w:p>
          <w:tbl>
            <w:tblPr>
              <w:tblStyle w:val="22"/>
              <w:tblW w:w="8054"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69"/>
              <w:gridCol w:w="895"/>
              <w:gridCol w:w="774"/>
              <w:gridCol w:w="1404"/>
              <w:gridCol w:w="753"/>
              <w:gridCol w:w="870"/>
              <w:gridCol w:w="1381"/>
              <w:gridCol w:w="120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69" w:type="dxa"/>
                  <w:tcBorders>
                    <w:top w:val="single" w:color="auto" w:sz="12" w:space="0"/>
                    <w:left w:val="nil"/>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名称</w:t>
                  </w:r>
                </w:p>
              </w:tc>
              <w:tc>
                <w:tcPr>
                  <w:tcW w:w="895" w:type="dxa"/>
                  <w:tcBorders>
                    <w:top w:val="single" w:color="auto" w:sz="12"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产生</w:t>
                  </w:r>
                </w:p>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环节</w:t>
                  </w:r>
                </w:p>
              </w:tc>
              <w:tc>
                <w:tcPr>
                  <w:tcW w:w="774" w:type="dxa"/>
                  <w:tcBorders>
                    <w:top w:val="single" w:color="auto" w:sz="12"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属性</w:t>
                  </w:r>
                </w:p>
              </w:tc>
              <w:tc>
                <w:tcPr>
                  <w:tcW w:w="1404" w:type="dxa"/>
                  <w:tcBorders>
                    <w:top w:val="single" w:color="auto" w:sz="12"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代码</w:t>
                  </w:r>
                </w:p>
              </w:tc>
              <w:tc>
                <w:tcPr>
                  <w:tcW w:w="753" w:type="dxa"/>
                  <w:tcBorders>
                    <w:top w:val="single" w:color="auto" w:sz="12"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危险特性</w:t>
                  </w:r>
                </w:p>
              </w:tc>
              <w:tc>
                <w:tcPr>
                  <w:tcW w:w="870" w:type="dxa"/>
                  <w:tcBorders>
                    <w:top w:val="single" w:color="auto" w:sz="12"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产生量（t/a）</w:t>
                  </w:r>
                </w:p>
              </w:tc>
              <w:tc>
                <w:tcPr>
                  <w:tcW w:w="1381" w:type="dxa"/>
                  <w:tcBorders>
                    <w:top w:val="single" w:color="auto" w:sz="12"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lang w:eastAsia="zh-CN"/>
                    </w:rPr>
                  </w:pPr>
                  <w:r>
                    <w:rPr>
                      <w:rFonts w:hint="eastAsia" w:ascii="宋体" w:hAnsi="宋体" w:eastAsia="宋体" w:cs="宋体"/>
                      <w:color w:val="auto"/>
                      <w:sz w:val="20"/>
                      <w:szCs w:val="20"/>
                      <w:lang w:val="en-US" w:eastAsia="zh-CN"/>
                    </w:rPr>
                    <w:t>最终去向</w:t>
                  </w:r>
                </w:p>
              </w:tc>
              <w:tc>
                <w:tcPr>
                  <w:tcW w:w="1208" w:type="dxa"/>
                  <w:tcBorders>
                    <w:top w:val="single" w:color="auto" w:sz="12" w:space="0"/>
                    <w:left w:val="single" w:color="auto" w:sz="4" w:space="0"/>
                    <w:bottom w:val="single" w:color="auto" w:sz="4" w:space="0"/>
                    <w:right w:val="nil"/>
                  </w:tcBorders>
                  <w:vAlign w:val="center"/>
                </w:tcPr>
                <w:p>
                  <w:pPr>
                    <w:pStyle w:val="18"/>
                    <w:keepNext w:val="0"/>
                    <w:keepLines w:val="0"/>
                    <w:widowControl w:val="0"/>
                    <w:suppressLineNumbers w:val="0"/>
                    <w:snapToGrid w:val="0"/>
                    <w:spacing w:line="240" w:lineRule="auto"/>
                    <w:ind w:left="0" w:right="0"/>
                    <w:jc w:val="center"/>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rPr>
                    <w:t>环境管理要求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69" w:type="dxa"/>
                  <w:tcBorders>
                    <w:top w:val="single" w:color="auto" w:sz="4" w:space="0"/>
                    <w:left w:val="nil"/>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生活</w:t>
                  </w:r>
                </w:p>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lang w:val="en-US" w:eastAsia="zh-CN"/>
                    </w:rPr>
                    <w:t>垃圾</w:t>
                  </w:r>
                </w:p>
              </w:tc>
              <w:tc>
                <w:tcPr>
                  <w:tcW w:w="895"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lang w:eastAsia="zh-CN"/>
                    </w:rPr>
                    <w:t>员工生活</w:t>
                  </w:r>
                </w:p>
              </w:tc>
              <w:tc>
                <w:tcPr>
                  <w:tcW w:w="774" w:type="dxa"/>
                  <w:vMerge w:val="restart"/>
                  <w:tcBorders>
                    <w:top w:val="single" w:color="auto" w:sz="4" w:space="0"/>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kern w:val="0"/>
                      <w:sz w:val="20"/>
                      <w:szCs w:val="20"/>
                      <w:lang w:val="en-US" w:eastAsia="zh-CN" w:bidi="ar-SA"/>
                    </w:rPr>
                    <w:t>一般固废</w:t>
                  </w:r>
                </w:p>
              </w:tc>
              <w:tc>
                <w:tcPr>
                  <w:tcW w:w="1404"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lang w:val="en-US" w:eastAsia="zh-CN"/>
                    </w:rPr>
                    <w:t>900-999-99</w:t>
                  </w:r>
                </w:p>
              </w:tc>
              <w:tc>
                <w:tcPr>
                  <w:tcW w:w="753"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lang w:val="en-US" w:eastAsia="zh-CN"/>
                    </w:rPr>
                    <w:t>/</w:t>
                  </w:r>
                </w:p>
              </w:tc>
              <w:tc>
                <w:tcPr>
                  <w:tcW w:w="870" w:type="dxa"/>
                  <w:tcBorders>
                    <w:top w:val="single" w:color="auto" w:sz="4"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exact"/>
                    <w:ind w:left="0" w:right="0"/>
                    <w:jc w:val="center"/>
                    <w:textAlignment w:val="auto"/>
                    <w:rPr>
                      <w:rFonts w:hint="default" w:ascii="宋体" w:hAnsi="宋体" w:eastAsia="宋体" w:cs="宋体"/>
                      <w:color w:val="auto"/>
                      <w:kern w:val="0"/>
                      <w:sz w:val="20"/>
                      <w:szCs w:val="20"/>
                      <w:lang w:val="en-US" w:eastAsia="zh-CN" w:bidi="ar-SA"/>
                    </w:rPr>
                  </w:pPr>
                  <w:r>
                    <w:rPr>
                      <w:rFonts w:hint="eastAsia" w:ascii="宋体" w:hAnsi="宋体" w:eastAsia="宋体" w:cs="宋体"/>
                      <w:color w:val="auto"/>
                      <w:kern w:val="0"/>
                      <w:sz w:val="20"/>
                      <w:szCs w:val="20"/>
                      <w:lang w:val="en-US" w:eastAsia="zh-CN" w:bidi="ar-SA"/>
                    </w:rPr>
                    <w:t>0.</w:t>
                  </w:r>
                  <w:r>
                    <w:rPr>
                      <w:rFonts w:hint="eastAsia" w:cs="宋体"/>
                      <w:color w:val="auto"/>
                      <w:kern w:val="0"/>
                      <w:sz w:val="20"/>
                      <w:szCs w:val="20"/>
                      <w:lang w:val="en-US" w:eastAsia="zh-CN" w:bidi="ar-SA"/>
                    </w:rPr>
                    <w:t>5</w:t>
                  </w:r>
                </w:p>
              </w:tc>
              <w:tc>
                <w:tcPr>
                  <w:tcW w:w="1381" w:type="dxa"/>
                  <w:tcBorders>
                    <w:top w:val="single" w:color="auto" w:sz="4"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exact"/>
                    <w:ind w:left="0" w:right="0"/>
                    <w:jc w:val="center"/>
                    <w:textAlignment w:val="auto"/>
                    <w:rPr>
                      <w:rFonts w:hint="default" w:ascii="宋体" w:hAnsi="宋体" w:eastAsia="宋体" w:cs="宋体"/>
                      <w:color w:val="auto"/>
                      <w:kern w:val="0"/>
                      <w:sz w:val="20"/>
                      <w:szCs w:val="20"/>
                      <w:lang w:val="en-US" w:eastAsia="zh-CN" w:bidi="ar-SA"/>
                    </w:rPr>
                  </w:pPr>
                  <w:r>
                    <w:rPr>
                      <w:rFonts w:hint="eastAsia" w:ascii="宋体" w:hAnsi="宋体" w:eastAsia="宋体" w:cs="宋体"/>
                      <w:color w:val="auto"/>
                      <w:kern w:val="0"/>
                      <w:sz w:val="20"/>
                      <w:szCs w:val="20"/>
                      <w:lang w:val="en-US" w:eastAsia="zh-CN" w:bidi="ar-SA"/>
                    </w:rPr>
                    <w:t>环卫部门处理</w:t>
                  </w:r>
                </w:p>
              </w:tc>
              <w:tc>
                <w:tcPr>
                  <w:tcW w:w="1208" w:type="dxa"/>
                  <w:vMerge w:val="restart"/>
                  <w:tcBorders>
                    <w:top w:val="single" w:color="auto" w:sz="4" w:space="0"/>
                    <w:left w:val="single" w:color="auto" w:sz="4" w:space="0"/>
                    <w:right w:val="nil"/>
                  </w:tcBorders>
                  <w:vAlign w:val="center"/>
                </w:tcPr>
                <w:p>
                  <w:pPr>
                    <w:pStyle w:val="18"/>
                    <w:keepNext w:val="0"/>
                    <w:keepLines w:val="0"/>
                    <w:widowControl w:val="0"/>
                    <w:suppressLineNumbers w:val="0"/>
                    <w:snapToGrid w:val="0"/>
                    <w:ind w:left="0" w:right="0"/>
                    <w:jc w:val="both"/>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sz w:val="20"/>
                      <w:szCs w:val="20"/>
                    </w:rPr>
                    <w:t>排污许可登记，建立台帐，定期公开污染防治信息，贮存场所防扬散、流失、渗漏</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418" w:hRule="atLeast"/>
              </w:trPr>
              <w:tc>
                <w:tcPr>
                  <w:tcW w:w="769" w:type="dxa"/>
                  <w:tcBorders>
                    <w:top w:val="single" w:color="auto" w:sz="4" w:space="0"/>
                    <w:left w:val="nil"/>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废包</w:t>
                  </w:r>
                </w:p>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装袋</w:t>
                  </w:r>
                </w:p>
              </w:tc>
              <w:tc>
                <w:tcPr>
                  <w:tcW w:w="895" w:type="dxa"/>
                  <w:tcBorders>
                    <w:top w:val="single" w:color="auto" w:sz="4" w:space="0"/>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kern w:val="0"/>
                      <w:sz w:val="20"/>
                      <w:szCs w:val="20"/>
                      <w:lang w:val="en-US" w:eastAsia="zh-CN" w:bidi="ar-SA"/>
                    </w:rPr>
                  </w:pPr>
                  <w:r>
                    <w:rPr>
                      <w:rFonts w:hint="eastAsia" w:ascii="宋体" w:hAnsi="宋体" w:eastAsia="宋体" w:cs="宋体"/>
                      <w:color w:val="auto"/>
                      <w:kern w:val="0"/>
                      <w:sz w:val="20"/>
                      <w:szCs w:val="20"/>
                      <w:lang w:val="en-US" w:eastAsia="zh-CN" w:bidi="ar-SA"/>
                    </w:rPr>
                    <w:t>拆包</w:t>
                  </w:r>
                </w:p>
              </w:tc>
              <w:tc>
                <w:tcPr>
                  <w:tcW w:w="774" w:type="dxa"/>
                  <w:vMerge w:val="continue"/>
                  <w:tcBorders>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kern w:val="0"/>
                      <w:sz w:val="20"/>
                      <w:szCs w:val="20"/>
                      <w:lang w:val="en-US" w:eastAsia="zh-CN" w:bidi="ar-SA"/>
                    </w:rPr>
                  </w:pPr>
                </w:p>
              </w:tc>
              <w:tc>
                <w:tcPr>
                  <w:tcW w:w="1404" w:type="dxa"/>
                  <w:tcBorders>
                    <w:top w:val="single" w:color="auto" w:sz="4" w:space="0"/>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233-001-07</w:t>
                  </w:r>
                </w:p>
              </w:tc>
              <w:tc>
                <w:tcPr>
                  <w:tcW w:w="753"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w:t>
                  </w:r>
                </w:p>
              </w:tc>
              <w:tc>
                <w:tcPr>
                  <w:tcW w:w="870" w:type="dxa"/>
                  <w:tcBorders>
                    <w:top w:val="single" w:color="auto" w:sz="4" w:space="0"/>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cs="宋体"/>
                      <w:color w:val="auto"/>
                      <w:sz w:val="20"/>
                      <w:szCs w:val="20"/>
                      <w:lang w:val="en-US" w:eastAsia="zh-CN"/>
                    </w:rPr>
                    <w:t>0.8</w:t>
                  </w:r>
                </w:p>
              </w:tc>
              <w:tc>
                <w:tcPr>
                  <w:tcW w:w="1381" w:type="dxa"/>
                  <w:vMerge w:val="restart"/>
                  <w:tcBorders>
                    <w:top w:val="single" w:color="auto" w:sz="4" w:space="0"/>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外售给</w:t>
                  </w:r>
                  <w:r>
                    <w:rPr>
                      <w:rFonts w:hint="eastAsia" w:cs="宋体"/>
                      <w:color w:val="auto"/>
                      <w:sz w:val="20"/>
                      <w:szCs w:val="20"/>
                      <w:lang w:val="en-US" w:eastAsia="zh-CN"/>
                    </w:rPr>
                    <w:t>废品回收站</w:t>
                  </w:r>
                </w:p>
              </w:tc>
              <w:tc>
                <w:tcPr>
                  <w:tcW w:w="1208" w:type="dxa"/>
                  <w:vMerge w:val="continue"/>
                  <w:tcBorders>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exact"/>
                    <w:ind w:left="0" w:right="0"/>
                    <w:jc w:val="center"/>
                    <w:textAlignment w:val="auto"/>
                    <w:rPr>
                      <w:rFonts w:hint="eastAsia" w:ascii="宋体" w:hAnsi="宋体" w:eastAsia="宋体" w:cs="宋体"/>
                      <w:color w:val="auto"/>
                      <w:sz w:val="20"/>
                      <w:szCs w:val="20"/>
                      <w:lang w:val="en-US" w:eastAsia="zh-CN"/>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69" w:type="dxa"/>
                  <w:tcBorders>
                    <w:top w:val="single" w:color="auto" w:sz="4" w:space="0"/>
                    <w:left w:val="nil"/>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废活性炭</w:t>
                  </w:r>
                </w:p>
              </w:tc>
              <w:tc>
                <w:tcPr>
                  <w:tcW w:w="895"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VOCs处理</w:t>
                  </w:r>
                </w:p>
              </w:tc>
              <w:tc>
                <w:tcPr>
                  <w:tcW w:w="774" w:type="dxa"/>
                  <w:vMerge w:val="restart"/>
                  <w:tcBorders>
                    <w:top w:val="single" w:color="auto" w:sz="4" w:space="0"/>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危险废物</w:t>
                  </w:r>
                </w:p>
              </w:tc>
              <w:tc>
                <w:tcPr>
                  <w:tcW w:w="1404"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900-039-49</w:t>
                  </w:r>
                </w:p>
              </w:tc>
              <w:tc>
                <w:tcPr>
                  <w:tcW w:w="753"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T</w:t>
                  </w:r>
                </w:p>
              </w:tc>
              <w:tc>
                <w:tcPr>
                  <w:tcW w:w="870" w:type="dxa"/>
                  <w:tcBorders>
                    <w:top w:val="single" w:color="auto" w:sz="4"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cs="宋体"/>
                      <w:color w:val="auto"/>
                      <w:sz w:val="20"/>
                      <w:szCs w:val="20"/>
                      <w:lang w:val="en-US" w:eastAsia="zh-CN"/>
                    </w:rPr>
                    <w:t>1</w:t>
                  </w:r>
                </w:p>
              </w:tc>
              <w:tc>
                <w:tcPr>
                  <w:tcW w:w="1381" w:type="dxa"/>
                  <w:vMerge w:val="restart"/>
                  <w:tcBorders>
                    <w:top w:val="single" w:color="auto" w:sz="4" w:space="0"/>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暂存在危废间，交由有资质的单位处理</w:t>
                  </w:r>
                </w:p>
              </w:tc>
              <w:tc>
                <w:tcPr>
                  <w:tcW w:w="1208" w:type="dxa"/>
                  <w:vMerge w:val="continue"/>
                  <w:tcBorders>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val="en-US" w:eastAsia="zh-CN"/>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69" w:type="dxa"/>
                  <w:tcBorders>
                    <w:top w:val="single" w:color="auto" w:sz="4" w:space="0"/>
                    <w:left w:val="nil"/>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废机油</w:t>
                  </w:r>
                </w:p>
              </w:tc>
              <w:tc>
                <w:tcPr>
                  <w:tcW w:w="895"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设备维修保养</w:t>
                  </w:r>
                </w:p>
              </w:tc>
              <w:tc>
                <w:tcPr>
                  <w:tcW w:w="774" w:type="dxa"/>
                  <w:vMerge w:val="continue"/>
                  <w:tcBorders>
                    <w:left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eastAsia="zh-CN"/>
                    </w:rPr>
                  </w:pPr>
                </w:p>
              </w:tc>
              <w:tc>
                <w:tcPr>
                  <w:tcW w:w="1404"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900-214-08</w:t>
                  </w:r>
                </w:p>
              </w:tc>
              <w:tc>
                <w:tcPr>
                  <w:tcW w:w="753" w:type="dxa"/>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T</w:t>
                  </w:r>
                </w:p>
              </w:tc>
              <w:tc>
                <w:tcPr>
                  <w:tcW w:w="870" w:type="dxa"/>
                  <w:tcBorders>
                    <w:top w:val="single" w:color="auto" w:sz="4" w:space="0"/>
                    <w:left w:val="single" w:color="auto" w:sz="4" w:space="0"/>
                    <w:bottom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ascii="宋体" w:hAnsi="宋体" w:eastAsia="宋体" w:cs="宋体"/>
                      <w:color w:val="auto"/>
                      <w:sz w:val="20"/>
                      <w:szCs w:val="20"/>
                      <w:lang w:val="en-US" w:eastAsia="zh-CN"/>
                    </w:rPr>
                  </w:pPr>
                  <w:r>
                    <w:rPr>
                      <w:rFonts w:hint="eastAsia" w:cs="宋体"/>
                      <w:color w:val="auto"/>
                      <w:sz w:val="20"/>
                      <w:szCs w:val="20"/>
                      <w:lang w:val="en-US" w:eastAsia="zh-CN"/>
                    </w:rPr>
                    <w:t>0.02</w:t>
                  </w:r>
                </w:p>
              </w:tc>
              <w:tc>
                <w:tcPr>
                  <w:tcW w:w="1381" w:type="dxa"/>
                  <w:vMerge w:val="continue"/>
                  <w:tcBorders>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val="en-US" w:eastAsia="zh-CN"/>
                    </w:rPr>
                  </w:pPr>
                </w:p>
              </w:tc>
              <w:tc>
                <w:tcPr>
                  <w:tcW w:w="1208" w:type="dxa"/>
                  <w:vMerge w:val="continue"/>
                  <w:tcBorders>
                    <w:left w:val="single" w:color="auto" w:sz="4" w:space="0"/>
                    <w:right w:val="nil"/>
                  </w:tcBorders>
                  <w:vAlign w:val="center"/>
                </w:tcPr>
                <w:p>
                  <w:pPr>
                    <w:pStyle w:val="1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ascii="宋体" w:hAnsi="宋体" w:eastAsia="宋体" w:cs="宋体"/>
                      <w:color w:val="auto"/>
                      <w:sz w:val="20"/>
                      <w:szCs w:val="20"/>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五、</w:t>
            </w:r>
            <w:r>
              <w:rPr>
                <w:rFonts w:hint="default" w:ascii="Times New Roman" w:hAnsi="Times New Roman" w:eastAsia="宋体" w:cs="Times New Roman"/>
                <w:b/>
                <w:bCs w:val="0"/>
                <w:color w:val="auto"/>
                <w:sz w:val="24"/>
                <w:szCs w:val="24"/>
              </w:rPr>
              <w:t>环境风险</w:t>
            </w:r>
            <w:r>
              <w:rPr>
                <w:rFonts w:hint="default" w:ascii="Times New Roman" w:hAnsi="Times New Roman" w:eastAsia="宋体" w:cs="Times New Roman"/>
                <w:b/>
                <w:bCs w:val="0"/>
                <w:color w:val="auto"/>
                <w:sz w:val="24"/>
                <w:szCs w:val="24"/>
                <w:lang w:val="en-US" w:eastAsia="zh-CN"/>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w:t>
            </w:r>
            <w:r>
              <w:rPr>
                <w:rFonts w:hint="default" w:ascii="Times New Roman" w:hAnsi="Times New Roman" w:cs="Times New Roman"/>
                <w:bCs/>
                <w:color w:val="000000" w:themeColor="text1"/>
                <w:sz w:val="24"/>
                <w:szCs w:val="24"/>
                <w:lang w:val="en-US" w:eastAsia="zh-CN"/>
                <w14:textFill>
                  <w14:solidFill>
                    <w14:schemeClr w14:val="tx1"/>
                  </w14:solidFill>
                </w14:textFill>
              </w:rPr>
              <w:t>使用的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原料为塑料颗粒，</w:t>
            </w:r>
            <w:r>
              <w:rPr>
                <w:rFonts w:hint="default" w:ascii="Times New Roman" w:hAnsi="Times New Roman" w:cs="Times New Roman"/>
                <w:bCs/>
                <w:color w:val="000000" w:themeColor="text1"/>
                <w:sz w:val="24"/>
                <w:szCs w:val="24"/>
                <w:lang w:val="en-US" w:eastAsia="zh-CN"/>
                <w14:textFill>
                  <w14:solidFill>
                    <w14:schemeClr w14:val="tx1"/>
                  </w14:solidFill>
                </w14:textFill>
              </w:rPr>
              <w:t>不使用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辅料，塑料颗粒为固体，其理化性质稳定，不属于</w:t>
            </w:r>
            <w:r>
              <w:rPr>
                <w:rFonts w:hint="default" w:ascii="Times New Roman" w:hAnsi="Times New Roman" w:eastAsia="宋体" w:cs="Times New Roman"/>
                <w:bCs/>
                <w:color w:val="000000" w:themeColor="text1"/>
                <w:sz w:val="24"/>
                <w:szCs w:val="24"/>
                <w14:textFill>
                  <w14:solidFill>
                    <w14:schemeClr w14:val="tx1"/>
                  </w14:solidFill>
                </w14:textFill>
              </w:rPr>
              <w:t>有毒有害和易燃易爆危险物质</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通常情况下</w:t>
            </w:r>
            <w:r>
              <w:rPr>
                <w:rFonts w:hint="default" w:ascii="Times New Roman" w:hAnsi="Times New Roman" w:eastAsia="宋体" w:cs="Times New Roman"/>
                <w:bCs/>
                <w:color w:val="000000" w:themeColor="text1"/>
                <w:sz w:val="24"/>
                <w:szCs w:val="24"/>
                <w14:textFill>
                  <w14:solidFill>
                    <w14:schemeClr w14:val="tx1"/>
                  </w14:solidFill>
                </w14:textFill>
              </w:rPr>
              <w:t>不会发生污染事故，不会发生渗漏到土壤、地下水中的情况。</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并且，本项目贮存的原料量少，一次性贮存量不超过800包（25kg/包）</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存放在密闭的仓库中，</w:t>
            </w:r>
            <w:r>
              <w:rPr>
                <w:rFonts w:hint="default" w:ascii="Times New Roman" w:hAnsi="Times New Roman" w:eastAsia="宋体" w:cs="Times New Roman"/>
                <w:bCs/>
                <w:color w:val="000000" w:themeColor="text1"/>
                <w:sz w:val="24"/>
                <w:szCs w:val="24"/>
                <w14:textFill>
                  <w14:solidFill>
                    <w14:schemeClr w14:val="tx1"/>
                  </w14:solidFill>
                </w14:textFill>
              </w:rPr>
              <w:t>不会造成环境污染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影响</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mallCaps w:val="0"/>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本项目的废气VOCs排放量小</w:t>
            </w:r>
            <w:r>
              <w:rPr>
                <w:rFonts w:hint="default" w:ascii="Times New Roman" w:hAnsi="Times New Roman" w:eastAsia="宋体" w:cs="Times New Roman"/>
                <w:smallCaps w:val="0"/>
                <w:color w:val="000000" w:themeColor="text1"/>
                <w:kern w:val="2"/>
                <w:sz w:val="24"/>
                <w:szCs w:val="24"/>
                <w:highlight w:val="none"/>
                <w:vertAlign w:val="baseline"/>
                <w:lang w:val="en-US" w:eastAsia="zh-CN" w:bidi="ar-SA"/>
                <w14:textFill>
                  <w14:solidFill>
                    <w14:schemeClr w14:val="tx1"/>
                  </w14:solidFill>
                </w14:textFill>
              </w:rPr>
              <w:t>，对周围的环境影响很小。在非正常工况时，采取关闭门窗的措施，可以防止VOCs的逸散对环境的影响，不会污染、影响周围的大气环境。项目单位应定期维修保养环保设备，及时更换活性炭箱，以减少对周围的环境影响。</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本项目</w:t>
            </w:r>
            <w:r>
              <w:rPr>
                <w:rFonts w:hint="default" w:ascii="Times New Roman" w:hAnsi="Times New Roman" w:cs="Times New Roman"/>
                <w:b w:val="0"/>
                <w:bCs/>
                <w:color w:val="auto"/>
                <w:sz w:val="24"/>
                <w:szCs w:val="24"/>
                <w:lang w:val="en-US" w:eastAsia="zh-CN"/>
              </w:rPr>
              <w:t>设置了</w:t>
            </w:r>
            <w:r>
              <w:rPr>
                <w:rFonts w:hint="default" w:ascii="Times New Roman" w:hAnsi="Times New Roman" w:eastAsia="宋体" w:cs="Times New Roman"/>
                <w:b w:val="0"/>
                <w:bCs/>
                <w:color w:val="auto"/>
                <w:sz w:val="24"/>
                <w:szCs w:val="24"/>
                <w:lang w:val="en-US" w:eastAsia="zh-CN"/>
              </w:rPr>
              <w:t>防火措施，在厂房</w:t>
            </w:r>
            <w:r>
              <w:rPr>
                <w:rFonts w:hint="default" w:ascii="Times New Roman" w:hAnsi="Times New Roman" w:cs="Times New Roman"/>
                <w:b w:val="0"/>
                <w:bCs/>
                <w:color w:val="auto"/>
                <w:sz w:val="24"/>
                <w:szCs w:val="24"/>
                <w:lang w:val="en-US" w:eastAsia="zh-CN"/>
              </w:rPr>
              <w:t>两侧</w:t>
            </w:r>
            <w:r>
              <w:rPr>
                <w:rFonts w:hint="default" w:ascii="Times New Roman" w:hAnsi="Times New Roman" w:eastAsia="宋体" w:cs="Times New Roman"/>
                <w:b w:val="0"/>
                <w:bCs/>
                <w:color w:val="auto"/>
                <w:sz w:val="24"/>
                <w:szCs w:val="24"/>
                <w:lang w:val="en-US" w:eastAsia="zh-CN"/>
              </w:rPr>
              <w:t>设置了防火通道，</w:t>
            </w:r>
            <w:r>
              <w:rPr>
                <w:rFonts w:hint="default" w:ascii="Times New Roman" w:hAnsi="Times New Roman" w:cs="Times New Roman"/>
                <w:b w:val="0"/>
                <w:bCs/>
                <w:color w:val="auto"/>
                <w:sz w:val="24"/>
                <w:szCs w:val="24"/>
                <w:lang w:val="en-US" w:eastAsia="zh-CN"/>
              </w:rPr>
              <w:t>厂房内</w:t>
            </w:r>
            <w:r>
              <w:rPr>
                <w:rFonts w:hint="default" w:ascii="Times New Roman" w:hAnsi="Times New Roman" w:eastAsia="宋体" w:cs="Times New Roman"/>
                <w:b w:val="0"/>
                <w:bCs/>
                <w:color w:val="auto"/>
                <w:sz w:val="24"/>
                <w:szCs w:val="24"/>
                <w:lang w:val="en-US" w:eastAsia="zh-CN"/>
              </w:rPr>
              <w:t>放置了消防工具和灭火器。项目单位应加强职工培训，明确生产设备和环境保护的负责人，定时维护保养生产设备和环保设施，</w:t>
            </w:r>
            <w:r>
              <w:rPr>
                <w:rFonts w:hint="default" w:ascii="Times New Roman" w:hAnsi="Times New Roman" w:eastAsia="宋体" w:cs="Times New Roman"/>
                <w:bCs/>
                <w:color w:val="auto"/>
                <w:kern w:val="2"/>
                <w:sz w:val="24"/>
                <w:szCs w:val="24"/>
                <w:lang w:val="en-US" w:eastAsia="zh-CN" w:bidi="ar-SA"/>
              </w:rPr>
              <w:t>做到防患于未然，尽量避免突发性环境污染事故的发生。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综上，本项目环境风险较小且可控。</w:t>
            </w: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22"/>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500"/>
        <w:gridCol w:w="1470"/>
        <w:gridCol w:w="1305"/>
        <w:gridCol w:w="2340"/>
        <w:gridCol w:w="23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tcBorders>
              <w:top w:val="single" w:color="auto" w:sz="8" w:space="0"/>
              <w:left w:val="single" w:color="auto" w:sz="8" w:space="0"/>
              <w:bottom w:val="single" w:color="auto" w:sz="4" w:space="0"/>
              <w:right w:val="single" w:color="auto" w:sz="4" w:space="0"/>
              <w:tl2br w:val="single" w:color="auto" w:sz="4" w:space="0"/>
            </w:tcBorders>
            <w:vAlign w:val="top"/>
          </w:tcPr>
          <w:p>
            <w:pPr>
              <w:keepNext w:val="0"/>
              <w:keepLines w:val="0"/>
              <w:suppressLineNumbers w:val="0"/>
              <w:adjustRightInd w:val="0"/>
              <w:snapToGrid w:val="0"/>
              <w:spacing w:before="0" w:beforeAutospacing="0" w:after="0" w:afterAutospacing="0" w:line="276" w:lineRule="auto"/>
              <w:ind w:left="0" w:right="0"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内容</w:t>
            </w:r>
          </w:p>
          <w:p>
            <w:pPr>
              <w:keepNext w:val="0"/>
              <w:keepLines w:val="0"/>
              <w:suppressLineNumbers w:val="0"/>
              <w:adjustRightInd w:val="0"/>
              <w:snapToGrid w:val="0"/>
              <w:spacing w:before="0" w:beforeAutospacing="0" w:after="0" w:afterAutospacing="0" w:line="276" w:lineRule="auto"/>
              <w:ind w:left="0" w:right="0"/>
              <w:rPr>
                <w:rFonts w:hint="default" w:ascii="Times New Roman" w:hAnsi="Times New Roman" w:eastAsia="宋体" w:cs="Times New Roman"/>
                <w:szCs w:val="21"/>
              </w:rPr>
            </w:pPr>
            <w:r>
              <w:rPr>
                <w:rFonts w:hint="default" w:ascii="Times New Roman" w:hAnsi="Times New Roman" w:eastAsia="宋体" w:cs="Times New Roman"/>
                <w:szCs w:val="21"/>
              </w:rPr>
              <w:t>要素</w:t>
            </w:r>
          </w:p>
        </w:tc>
        <w:tc>
          <w:tcPr>
            <w:tcW w:w="1470"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排放口(编号、</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名称)/污染源</w:t>
            </w:r>
          </w:p>
        </w:tc>
        <w:tc>
          <w:tcPr>
            <w:tcW w:w="1305"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污染物项目</w:t>
            </w:r>
          </w:p>
        </w:tc>
        <w:tc>
          <w:tcPr>
            <w:tcW w:w="2340"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环境保护措施</w:t>
            </w:r>
          </w:p>
        </w:tc>
        <w:tc>
          <w:tcPr>
            <w:tcW w:w="2351"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jc w:val="center"/>
        </w:trPr>
        <w:tc>
          <w:tcPr>
            <w:tcW w:w="834" w:type="dxa"/>
            <w:vMerge w:val="restart"/>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大气环境</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500"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施工期</w:t>
            </w: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无组织排放</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2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门窗紧闭，洒水降尘</w:t>
            </w:r>
          </w:p>
        </w:tc>
        <w:tc>
          <w:tcPr>
            <w:tcW w:w="2351" w:type="dxa"/>
            <w:tcBorders>
              <w:top w:val="single" w:color="auto" w:sz="4"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大气污染物综合排放标准</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GB 16297-1996表2中二级标准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34"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default" w:ascii="Times New Roman" w:hAnsi="Times New Roman" w:eastAsia="宋体" w:cs="Times New Roman"/>
                <w:sz w:val="20"/>
                <w:szCs w:val="20"/>
              </w:rPr>
            </w:pPr>
          </w:p>
        </w:tc>
        <w:tc>
          <w:tcPr>
            <w:tcW w:w="500" w:type="dxa"/>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 w:val="20"/>
                <w:szCs w:val="20"/>
              </w:rPr>
            </w:pPr>
            <w:r>
              <w:rPr>
                <w:rFonts w:hint="eastAsia" w:ascii="Times New Roman" w:hAnsi="Times New Roman" w:eastAsia="宋体" w:cs="Times New Roman"/>
                <w:color w:val="auto"/>
                <w:szCs w:val="21"/>
                <w:lang w:eastAsia="zh-CN"/>
              </w:rPr>
              <w:t>运营期</w:t>
            </w:r>
          </w:p>
        </w:tc>
        <w:tc>
          <w:tcPr>
            <w:tcW w:w="1470"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DA001</w:t>
            </w:r>
          </w:p>
        </w:tc>
        <w:tc>
          <w:tcPr>
            <w:tcW w:w="1305"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NMHC</w:t>
            </w:r>
            <w:r>
              <w:rPr>
                <w:rFonts w:hint="eastAsia" w:ascii="Times New Roman" w:hAnsi="Times New Roman" w:eastAsia="宋体" w:cs="Times New Roman"/>
                <w:color w:val="auto"/>
                <w:szCs w:val="21"/>
                <w:lang w:eastAsia="zh-CN"/>
              </w:rPr>
              <w:t>、颗粒物、</w:t>
            </w:r>
            <w:r>
              <w:rPr>
                <w:rFonts w:hint="eastAsia" w:ascii="Times New Roman" w:hAnsi="Times New Roman" w:eastAsia="宋体" w:cs="Times New Roman"/>
                <w:color w:val="auto"/>
                <w:szCs w:val="21"/>
                <w:lang w:val="en-US" w:eastAsia="zh-CN"/>
              </w:rPr>
              <w:t>臭气浓度</w:t>
            </w:r>
          </w:p>
        </w:tc>
        <w:tc>
          <w:tcPr>
            <w:tcW w:w="2340"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集气罩+活性炭吸附箱+15m高排气筒</w:t>
            </w:r>
          </w:p>
        </w:tc>
        <w:tc>
          <w:tcPr>
            <w:tcW w:w="2351" w:type="dxa"/>
            <w:tcBorders>
              <w:left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rPr>
              <w:t>《合成树脂工业污染物排放标准》（GB31572-2015）中表4标准</w:t>
            </w:r>
            <w:r>
              <w:rPr>
                <w:rFonts w:hint="eastAsia" w:ascii="Times New Roman" w:hAnsi="Times New Roman" w:eastAsia="宋体" w:cs="Times New Roman"/>
                <w:color w:val="auto"/>
                <w:sz w:val="20"/>
                <w:szCs w:val="20"/>
                <w:lang w:val="en-US" w:eastAsia="zh-CN"/>
              </w:rPr>
              <w:t>及</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恶臭污染物排放标准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CB14554-93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表2中标准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34" w:type="dxa"/>
            <w:vMerge w:val="continue"/>
            <w:tcBorders>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rPr>
                <w:rFonts w:hint="default" w:ascii="Times New Roman" w:hAnsi="Times New Roman" w:eastAsia="宋体" w:cs="Times New Roman"/>
                <w:sz w:val="20"/>
                <w:szCs w:val="20"/>
              </w:rPr>
            </w:pPr>
          </w:p>
        </w:tc>
        <w:tc>
          <w:tcPr>
            <w:tcW w:w="50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lang w:eastAsia="zh-CN"/>
              </w:rPr>
            </w:pPr>
          </w:p>
        </w:tc>
        <w:tc>
          <w:tcPr>
            <w:tcW w:w="1470"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无组织排放</w:t>
            </w:r>
          </w:p>
        </w:tc>
        <w:tc>
          <w:tcPr>
            <w:tcW w:w="1305"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NMHC</w:t>
            </w:r>
            <w:r>
              <w:rPr>
                <w:rFonts w:hint="eastAsia" w:ascii="Times New Roman" w:hAnsi="Times New Roman" w:eastAsia="宋体" w:cs="Times New Roman"/>
                <w:color w:val="auto"/>
                <w:szCs w:val="21"/>
                <w:lang w:eastAsia="zh-CN"/>
              </w:rPr>
              <w:t>、颗粒物、</w:t>
            </w:r>
            <w:r>
              <w:rPr>
                <w:rFonts w:hint="eastAsia" w:ascii="Times New Roman" w:hAnsi="Times New Roman" w:eastAsia="宋体" w:cs="Times New Roman"/>
                <w:color w:val="auto"/>
                <w:szCs w:val="21"/>
                <w:lang w:val="en-US" w:eastAsia="zh-CN"/>
              </w:rPr>
              <w:t>臭气浓度</w:t>
            </w:r>
          </w:p>
        </w:tc>
        <w:tc>
          <w:tcPr>
            <w:tcW w:w="2340"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门窗紧闭</w:t>
            </w:r>
          </w:p>
        </w:tc>
        <w:tc>
          <w:tcPr>
            <w:tcW w:w="2351" w:type="dxa"/>
            <w:tcBorders>
              <w:left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《合成树脂工业污染物排放标准》（GB31572-2015）中表9标准</w:t>
            </w:r>
            <w:r>
              <w:rPr>
                <w:rFonts w:hint="eastAsia" w:ascii="Times New Roman" w:hAnsi="Times New Roman" w:eastAsia="宋体" w:cs="Times New Roman"/>
                <w:color w:val="auto"/>
                <w:szCs w:val="21"/>
                <w:lang w:val="en-US" w:eastAsia="zh-CN"/>
              </w:rPr>
              <w:t>及</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恶臭污染物排放标准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CB14554-93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表1中标准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restart"/>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w:t>
            </w: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热</w:t>
            </w:r>
            <w:r>
              <w:rPr>
                <w:rFonts w:hint="eastAsia" w:ascii="Times New Roman" w:hAnsi="Times New Roman" w:eastAsia="宋体" w:cs="Times New Roman"/>
                <w:szCs w:val="21"/>
                <w:lang w:eastAsia="zh-CN"/>
              </w:rPr>
              <w:t>水</w:t>
            </w:r>
          </w:p>
        </w:tc>
        <w:tc>
          <w:tcPr>
            <w:tcW w:w="2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冷却后</w:t>
            </w:r>
            <w:r>
              <w:rPr>
                <w:rFonts w:hint="default" w:ascii="Times New Roman" w:hAnsi="Times New Roman" w:eastAsia="宋体" w:cs="Times New Roman"/>
                <w:szCs w:val="21"/>
              </w:rPr>
              <w:t>循环使用</w:t>
            </w:r>
          </w:p>
        </w:tc>
        <w:tc>
          <w:tcPr>
            <w:tcW w:w="2351"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rPr>
              <w:t>蒸发损耗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生活污水</w:t>
            </w:r>
          </w:p>
        </w:tc>
        <w:tc>
          <w:tcPr>
            <w:tcW w:w="2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防渗旱厕</w:t>
            </w:r>
          </w:p>
        </w:tc>
        <w:tc>
          <w:tcPr>
            <w:tcW w:w="2351"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restart"/>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注塑机</w:t>
            </w:r>
          </w:p>
        </w:tc>
        <w:tc>
          <w:tcPr>
            <w:tcW w:w="1305"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2340"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选择低噪声、低转速设备、合理布局、封闭厂房；车间使用双层隔声塑钢窗。</w:t>
            </w:r>
          </w:p>
        </w:tc>
        <w:tc>
          <w:tcPr>
            <w:tcW w:w="2351" w:type="dxa"/>
            <w:vMerge w:val="restart"/>
            <w:tcBorders>
              <w:top w:val="single" w:color="auto" w:sz="4"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GB12348-2008中</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cs="Times New Roman"/>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集气装置</w:t>
            </w:r>
          </w:p>
        </w:tc>
        <w:tc>
          <w:tcPr>
            <w:tcW w:w="130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4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51" w:type="dxa"/>
            <w:vMerge w:val="continue"/>
            <w:tcBorders>
              <w:left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投料机</w:t>
            </w:r>
          </w:p>
        </w:tc>
        <w:tc>
          <w:tcPr>
            <w:tcW w:w="130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4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51" w:type="dxa"/>
            <w:vMerge w:val="continue"/>
            <w:tcBorders>
              <w:left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eastAsia="zh-CN"/>
              </w:rPr>
              <w:t>循环水</w:t>
            </w:r>
            <w:r>
              <w:rPr>
                <w:rFonts w:hint="eastAsia" w:ascii="Times New Roman" w:hAnsi="Times New Roman" w:cs="Times New Roman"/>
                <w:color w:val="000000"/>
                <w:szCs w:val="21"/>
                <w:lang w:val="en-US" w:eastAsia="zh-CN"/>
              </w:rPr>
              <w:t>泵</w:t>
            </w:r>
          </w:p>
        </w:tc>
        <w:tc>
          <w:tcPr>
            <w:tcW w:w="1305"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4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c>
          <w:tcPr>
            <w:tcW w:w="2351" w:type="dxa"/>
            <w:vMerge w:val="continue"/>
            <w:tcBorders>
              <w:left w:val="single" w:color="auto" w:sz="4" w:space="0"/>
              <w:right w:val="single" w:color="auto" w:sz="8" w:space="0"/>
            </w:tcBorders>
            <w:vAlign w:val="center"/>
          </w:tcPr>
          <w:p>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34"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电磁辐射</w:t>
            </w:r>
          </w:p>
        </w:tc>
        <w:tc>
          <w:tcPr>
            <w:tcW w:w="1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3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351"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7466" w:type="dxa"/>
            <w:gridSpan w:val="4"/>
            <w:tcBorders>
              <w:top w:val="single" w:color="auto" w:sz="4" w:space="0"/>
              <w:left w:val="single" w:color="auto" w:sz="4" w:space="0"/>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line="276" w:lineRule="auto"/>
              <w:ind w:left="0" w:right="0"/>
              <w:rPr>
                <w:rFonts w:hint="default" w:ascii="Times New Roman" w:hAnsi="Times New Roman" w:eastAsia="宋体" w:cs="Times New Roman"/>
                <w:szCs w:val="21"/>
              </w:rPr>
            </w:pPr>
            <w:r>
              <w:rPr>
                <w:rFonts w:hint="eastAsia" w:ascii="Times New Roman" w:hAnsi="Times New Roman" w:eastAsia="宋体" w:cs="Times New Roman"/>
                <w:color w:val="auto"/>
                <w:szCs w:val="21"/>
                <w:lang w:eastAsia="zh-CN"/>
              </w:rPr>
              <w:t>废活性炭由有资质的单位回收利用</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废包装</w:t>
            </w:r>
            <w:r>
              <w:rPr>
                <w:rFonts w:hint="default" w:ascii="Times New Roman" w:hAnsi="Times New Roman" w:eastAsia="宋体" w:cs="Times New Roman"/>
                <w:color w:val="auto"/>
                <w:szCs w:val="21"/>
              </w:rPr>
              <w:t>收集后出售，生活垃圾由环卫部门集中清运</w:t>
            </w:r>
            <w:r>
              <w:rPr>
                <w:rFonts w:hint="eastAsia" w:ascii="Times New Roman" w:hAnsi="Times New Roman" w:eastAsia="宋体" w:cs="Times New Roman"/>
                <w:color w:val="auto"/>
                <w:szCs w:val="21"/>
                <w:lang w:eastAsia="zh-CN"/>
              </w:rPr>
              <w:t>，不合格产品及边角料外售综合利用</w:t>
            </w:r>
            <w:r>
              <w:rPr>
                <w:rFonts w:hint="default"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1334"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土壤及地下水</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污染防治措施</w:t>
            </w:r>
          </w:p>
        </w:tc>
        <w:tc>
          <w:tcPr>
            <w:tcW w:w="7466"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auto"/>
                <w:szCs w:val="21"/>
              </w:rPr>
              <w:t>危废间在库房内改造，面积</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，厂区地面、库房、车间地面采用水泥硬化做一般防渗处理；危废间采用2mm厚的高密度聚乙烯或与此相当的其他人工材料做基础防渗，</w:t>
            </w:r>
            <w:r>
              <w:rPr>
                <w:rFonts w:hint="default" w:ascii="Times New Roman" w:hAnsi="Times New Roman" w:eastAsia="宋体" w:cs="Times New Roman"/>
                <w:szCs w:val="21"/>
              </w:rPr>
              <w:t>防渗系数不低于10</w:t>
            </w:r>
            <w:r>
              <w:rPr>
                <w:rFonts w:hint="default" w:ascii="Times New Roman" w:hAnsi="Times New Roman" w:eastAsia="宋体" w:cs="Times New Roman"/>
                <w:szCs w:val="21"/>
                <w:vertAlign w:val="superscript"/>
              </w:rPr>
              <w:t>-10</w:t>
            </w:r>
            <w:r>
              <w:rPr>
                <w:rFonts w:hint="default" w:ascii="Times New Roman" w:hAnsi="Times New Roman" w:eastAsia="宋体" w:cs="Times New Roman"/>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4"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环境风险</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防范措施</w:t>
            </w:r>
          </w:p>
        </w:tc>
        <w:tc>
          <w:tcPr>
            <w:tcW w:w="7466"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减少风险物质贮存量</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危废间设置环保标识。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9" w:hRule="atLeast"/>
          <w:jc w:val="center"/>
        </w:trPr>
        <w:tc>
          <w:tcPr>
            <w:tcW w:w="1334" w:type="dxa"/>
            <w:gridSpan w:val="2"/>
            <w:tcBorders>
              <w:top w:val="single" w:color="auto" w:sz="4" w:space="0"/>
              <w:left w:val="single" w:color="auto" w:sz="8" w:space="0"/>
              <w:bottom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其他环境</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管理要求</w:t>
            </w:r>
          </w:p>
        </w:tc>
        <w:tc>
          <w:tcPr>
            <w:tcW w:w="7466" w:type="dxa"/>
            <w:gridSpan w:val="4"/>
            <w:tcBorders>
              <w:top w:val="single" w:color="auto" w:sz="4" w:space="0"/>
              <w:left w:val="single" w:color="auto" w:sz="4" w:space="0"/>
              <w:bottom w:val="single" w:color="auto" w:sz="8" w:space="0"/>
              <w:right w:val="single" w:color="auto" w:sz="8"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1、环境管理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管理要求运行期间，企业应设立环境管理机构，配备1名专业技术人员作为专职管理人员，负责其企业的环境管理工作，主要负责管理、维护各项环保设施，确保其正常运转和达标排放，并做好日常环境监测工作，及时掌握各项环保设施的运转情况、环境动态，必要时采取适当的环保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环境管理的主要内容和职能如下：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①</w:t>
            </w:r>
            <w:r>
              <w:rPr>
                <w:rFonts w:hint="default" w:ascii="Times New Roman" w:hAnsi="Times New Roman" w:eastAsia="宋体" w:cs="Times New Roman"/>
                <w:sz w:val="21"/>
                <w:szCs w:val="21"/>
              </w:rPr>
              <w:t>贯彻执行国家及</w:t>
            </w:r>
            <w:r>
              <w:rPr>
                <w:rFonts w:hint="eastAsia" w:ascii="Times New Roman" w:hAnsi="Times New Roman" w:eastAsia="宋体" w:cs="Times New Roman"/>
                <w:sz w:val="21"/>
                <w:szCs w:val="21"/>
              </w:rPr>
              <w:t>牡丹江</w:t>
            </w:r>
            <w:r>
              <w:rPr>
                <w:rFonts w:hint="default" w:ascii="Times New Roman" w:hAnsi="Times New Roman" w:eastAsia="宋体" w:cs="Times New Roman"/>
                <w:sz w:val="21"/>
                <w:szCs w:val="21"/>
              </w:rPr>
              <w:t>市的各项环境保护政策、法规及标准，制定本项目的环境管理办法；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②</w:t>
            </w:r>
            <w:r>
              <w:rPr>
                <w:rFonts w:hint="default" w:ascii="Times New Roman" w:hAnsi="Times New Roman" w:eastAsia="宋体" w:cs="Times New Roman"/>
                <w:sz w:val="21"/>
                <w:szCs w:val="21"/>
              </w:rPr>
              <w:t>建立健全企业的环境管理制度，并实施检查和监督工作；</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③</w:t>
            </w:r>
            <w:r>
              <w:rPr>
                <w:rFonts w:hint="default" w:ascii="Times New Roman" w:hAnsi="Times New Roman" w:eastAsia="宋体" w:cs="Times New Roman"/>
                <w:sz w:val="21"/>
                <w:szCs w:val="21"/>
              </w:rPr>
              <w:t>完成规定的监测任务，监督各排放口的污染物达标情况，保证监测质量和数据的代表性、准确性，对监测指标异常的污染物及新发现的污染物要及时上报有关部门；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④</w:t>
            </w:r>
            <w:r>
              <w:rPr>
                <w:rFonts w:hint="default" w:ascii="Times New Roman" w:hAnsi="Times New Roman" w:eastAsia="宋体" w:cs="Times New Roman"/>
                <w:sz w:val="21"/>
                <w:szCs w:val="21"/>
              </w:rPr>
              <w:t>定期对本项目涉及的各环保设施运行情况进行全面检查，保证设施正常运行，确保无重大环境污染、泄漏事故；</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⑤</w:t>
            </w:r>
            <w:r>
              <w:rPr>
                <w:rFonts w:hint="default" w:ascii="Times New Roman" w:hAnsi="Times New Roman" w:eastAsia="宋体" w:cs="Times New Roman"/>
                <w:sz w:val="21"/>
                <w:szCs w:val="21"/>
              </w:rPr>
              <w:t>建立环境档案和管理方案，实行环境保护工作动态管理。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2、排污口规范化管理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①</w:t>
            </w:r>
            <w:r>
              <w:rPr>
                <w:rFonts w:hint="default" w:ascii="Times New Roman" w:hAnsi="Times New Roman" w:eastAsia="宋体" w:cs="Times New Roman"/>
                <w:sz w:val="21"/>
                <w:szCs w:val="21"/>
              </w:rPr>
              <w:t>废气排气筒规范化设置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在排气筒附近醒目处设立环境保护图形标志牌，按要求加以标识（排气筒高度、出口内径、排放污染物种类等）。在适当位置设置便于采样、监测的采样口和采样平台。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排污口规范化整治，应符合国家、省、市有关规定，并通过主管环保部门认证和验收。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②</w:t>
            </w:r>
            <w:r>
              <w:rPr>
                <w:rFonts w:hint="default" w:ascii="Times New Roman" w:hAnsi="Times New Roman" w:eastAsia="宋体" w:cs="Times New Roman"/>
                <w:sz w:val="21"/>
                <w:szCs w:val="21"/>
              </w:rPr>
              <w:t>固定噪声污染源规范化标志牌设置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固定噪声污染源对边界影响最大处，应设置噪声监测点，根据上述原则并兼顾厂界形状，在边界上设置噪声监测点同时设置标志牌。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③</w:t>
            </w:r>
            <w:r>
              <w:rPr>
                <w:rFonts w:hint="default" w:ascii="Times New Roman" w:hAnsi="Times New Roman" w:eastAsia="宋体" w:cs="Times New Roman"/>
                <w:sz w:val="21"/>
                <w:szCs w:val="21"/>
              </w:rPr>
              <w:t>固体废物贮存（处置）场所</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新建一般固废和危险固废暂存库，需根据《环境保护图形标志－固体废物贮存（处置）场》（GB15562.2－1995）的要求设置环境保护图形标志，标志牌设在与之功能相应的醒目处，标志牌必须保护持清晰、完整。在后期运营过程中，当发现形象损坏、颜色污染或有变化、褪色等不符合本标准的情况，应及时修复或更换。检查时间至少每年一次。</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一般固体废物厂内暂存应满足GB18599-2021《一般工业固体废弃物贮存、处置场污染控制标准》，危险废物厂内暂存应满足GB18597-2001《危险废物贮存污染控制标准》及其2013年修改单的要求。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了公众监督管理，按照《环境保护图形标志》(GB15562.1—1995；GB15562.2—1995)、《〈环境保护图形标志〉实施细则（试行）》（环监[1996]463号）的规定，在各排污口设立相应的环境保护图形标志牌。具体要求见表下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表5-1各排污口环境保护图形标志</w:t>
            </w:r>
          </w:p>
          <w:tbl>
            <w:tblPr>
              <w:tblStyle w:val="22"/>
              <w:tblW w:w="723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8"/>
              <w:gridCol w:w="627"/>
              <w:gridCol w:w="1334"/>
              <w:gridCol w:w="2284"/>
              <w:gridCol w:w="23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5"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排放口名称</w:t>
                  </w:r>
                </w:p>
              </w:tc>
              <w:tc>
                <w:tcPr>
                  <w:tcW w:w="1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编号</w:t>
                  </w:r>
                </w:p>
              </w:tc>
              <w:tc>
                <w:tcPr>
                  <w:tcW w:w="228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提示图形符号</w:t>
                  </w:r>
                </w:p>
              </w:tc>
              <w:tc>
                <w:tcPr>
                  <w:tcW w:w="236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警告图形标志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5"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w:t>
                  </w:r>
                </w:p>
              </w:tc>
              <w:tc>
                <w:tcPr>
                  <w:tcW w:w="1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FQ-LFSH-××</w:t>
                  </w:r>
                </w:p>
              </w:tc>
              <w:tc>
                <w:tcPr>
                  <w:tcW w:w="228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u w:val="none"/>
                    </w:rPr>
                    <w:drawing>
                      <wp:inline distT="0" distB="0" distL="114300" distR="114300">
                        <wp:extent cx="957580" cy="957580"/>
                        <wp:effectExtent l="0" t="0" r="13970" b="13970"/>
                        <wp:docPr id="41" name="图片 2" descr="点击看大图及详细资料">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点击看大图及详细资料"/>
                                <pic:cNvPicPr>
                                  <a:picLocks noChangeAspect="1"/>
                                </pic:cNvPicPr>
                              </pic:nvPicPr>
                              <pic:blipFill>
                                <a:blip r:embed="rId21"/>
                                <a:stretch>
                                  <a:fillRect/>
                                </a:stretch>
                              </pic:blipFill>
                              <pic:spPr>
                                <a:xfrm>
                                  <a:off x="0" y="0"/>
                                  <a:ext cx="957580" cy="957580"/>
                                </a:xfrm>
                                <a:prstGeom prst="rect">
                                  <a:avLst/>
                                </a:prstGeom>
                                <a:noFill/>
                                <a:ln>
                                  <a:noFill/>
                                </a:ln>
                              </pic:spPr>
                            </pic:pic>
                          </a:graphicData>
                        </a:graphic>
                      </wp:inline>
                    </w:drawing>
                  </w:r>
                </w:p>
              </w:tc>
              <w:tc>
                <w:tcPr>
                  <w:tcW w:w="236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u w:val="none"/>
                    </w:rPr>
                    <w:drawing>
                      <wp:inline distT="0" distB="0" distL="114300" distR="114300">
                        <wp:extent cx="957580" cy="838835"/>
                        <wp:effectExtent l="0" t="0" r="13970" b="18415"/>
                        <wp:docPr id="33" name="图片 3" descr="点击看大图及详细资料">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点击看大图及详细资料"/>
                                <pic:cNvPicPr>
                                  <a:picLocks noChangeAspect="1"/>
                                </pic:cNvPicPr>
                              </pic:nvPicPr>
                              <pic:blipFill>
                                <a:blip r:embed="rId23"/>
                                <a:stretch>
                                  <a:fillRect/>
                                </a:stretch>
                              </pic:blipFill>
                              <pic:spPr>
                                <a:xfrm>
                                  <a:off x="0" y="0"/>
                                  <a:ext cx="957580" cy="838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5"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噪声源</w:t>
                  </w:r>
                </w:p>
              </w:tc>
              <w:tc>
                <w:tcPr>
                  <w:tcW w:w="1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ZS-LFSH-××</w:t>
                  </w:r>
                </w:p>
              </w:tc>
              <w:tc>
                <w:tcPr>
                  <w:tcW w:w="228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u w:val="none"/>
                    </w:rPr>
                    <w:drawing>
                      <wp:inline distT="0" distB="0" distL="114300" distR="114300">
                        <wp:extent cx="957580" cy="957580"/>
                        <wp:effectExtent l="0" t="0" r="13970" b="13970"/>
                        <wp:docPr id="48" name="图片 4" descr="点击看大图及详细资料">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点击看大图及详细资料"/>
                                <pic:cNvPicPr>
                                  <a:picLocks noChangeAspect="1"/>
                                </pic:cNvPicPr>
                              </pic:nvPicPr>
                              <pic:blipFill>
                                <a:blip r:embed="rId25"/>
                                <a:stretch>
                                  <a:fillRect/>
                                </a:stretch>
                              </pic:blipFill>
                              <pic:spPr>
                                <a:xfrm>
                                  <a:off x="0" y="0"/>
                                  <a:ext cx="957580" cy="957580"/>
                                </a:xfrm>
                                <a:prstGeom prst="rect">
                                  <a:avLst/>
                                </a:prstGeom>
                                <a:noFill/>
                                <a:ln>
                                  <a:noFill/>
                                </a:ln>
                              </pic:spPr>
                            </pic:pic>
                          </a:graphicData>
                        </a:graphic>
                      </wp:inline>
                    </w:drawing>
                  </w:r>
                </w:p>
              </w:tc>
              <w:tc>
                <w:tcPr>
                  <w:tcW w:w="236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u w:val="none"/>
                    </w:rPr>
                    <w:drawing>
                      <wp:inline distT="0" distB="0" distL="114300" distR="114300">
                        <wp:extent cx="957580" cy="838835"/>
                        <wp:effectExtent l="0" t="0" r="13970" b="18415"/>
                        <wp:docPr id="46" name="图片 5" descr="点击看大图及详细资料">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点击看大图及详细资料"/>
                                <pic:cNvPicPr>
                                  <a:picLocks noChangeAspect="1"/>
                                </pic:cNvPicPr>
                              </pic:nvPicPr>
                              <pic:blipFill>
                                <a:blip r:embed="rId27"/>
                                <a:stretch>
                                  <a:fillRect/>
                                </a:stretch>
                              </pic:blipFill>
                              <pic:spPr>
                                <a:xfrm>
                                  <a:off x="0" y="0"/>
                                  <a:ext cx="957580" cy="838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固废暂</w:t>
                  </w:r>
                  <w:r>
                    <w:rPr>
                      <w:rFonts w:hint="eastAsia" w:ascii="Times New Roman" w:hAnsi="Times New Roman" w:eastAsia="宋体" w:cs="Times New Roman"/>
                      <w:sz w:val="21"/>
                      <w:szCs w:val="21"/>
                      <w:lang w:eastAsia="zh-CN"/>
                    </w:rPr>
                    <w:t>堆库</w:t>
                  </w:r>
                  <w:r>
                    <w:rPr>
                      <w:rFonts w:hint="default" w:ascii="Times New Roman" w:hAnsi="Times New Roman" w:eastAsia="宋体" w:cs="Times New Roman"/>
                      <w:sz w:val="21"/>
                      <w:szCs w:val="21"/>
                    </w:rPr>
                    <w:t>所</w:t>
                  </w:r>
                </w:p>
              </w:tc>
              <w:tc>
                <w:tcPr>
                  <w:tcW w:w="62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1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GF-LFSH-××</w:t>
                  </w:r>
                </w:p>
              </w:tc>
              <w:tc>
                <w:tcPr>
                  <w:tcW w:w="228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312545" cy="838835"/>
                        <wp:effectExtent l="0" t="0" r="1905" b="18415"/>
                        <wp:docPr id="47" name="图片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0"/>
                                <pic:cNvPicPr>
                                  <a:picLocks noChangeAspect="1"/>
                                </pic:cNvPicPr>
                              </pic:nvPicPr>
                              <pic:blipFill>
                                <a:blip r:embed="rId28"/>
                                <a:stretch>
                                  <a:fillRect/>
                                </a:stretch>
                              </pic:blipFill>
                              <pic:spPr>
                                <a:xfrm>
                                  <a:off x="0" y="0"/>
                                  <a:ext cx="1312545" cy="838835"/>
                                </a:xfrm>
                                <a:prstGeom prst="rect">
                                  <a:avLst/>
                                </a:prstGeom>
                                <a:noFill/>
                                <a:ln>
                                  <a:noFill/>
                                </a:ln>
                              </pic:spPr>
                            </pic:pic>
                          </a:graphicData>
                        </a:graphic>
                      </wp:inline>
                    </w:drawing>
                  </w:r>
                </w:p>
              </w:tc>
              <w:tc>
                <w:tcPr>
                  <w:tcW w:w="236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1064895" cy="925195"/>
                        <wp:effectExtent l="0" t="0" r="1905" b="8255"/>
                        <wp:docPr id="50" name="图片 7" descr="18403272_1113570353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18403272_111357035329_2"/>
                                <pic:cNvPicPr>
                                  <a:picLocks noChangeAspect="1"/>
                                </pic:cNvPicPr>
                              </pic:nvPicPr>
                              <pic:blipFill>
                                <a:blip r:embed="rId29"/>
                                <a:stretch>
                                  <a:fillRect/>
                                </a:stretch>
                              </pic:blipFill>
                              <pic:spPr>
                                <a:xfrm>
                                  <a:off x="0" y="0"/>
                                  <a:ext cx="1064895" cy="925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p>
              </w:tc>
              <w:tc>
                <w:tcPr>
                  <w:tcW w:w="62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w:t>
                  </w:r>
                </w:p>
              </w:tc>
              <w:tc>
                <w:tcPr>
                  <w:tcW w:w="1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WF-LFSH-××</w:t>
                  </w:r>
                </w:p>
              </w:tc>
              <w:tc>
                <w:tcPr>
                  <w:tcW w:w="228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6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838835" cy="774700"/>
                        <wp:effectExtent l="0" t="0" r="18415" b="635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0"/>
                                <a:srcRect t="3564" r="4565" b="5347"/>
                                <a:stretch>
                                  <a:fillRect/>
                                </a:stretch>
                              </pic:blipFill>
                              <pic:spPr>
                                <a:xfrm>
                                  <a:off x="0" y="0"/>
                                  <a:ext cx="838835" cy="774700"/>
                                </a:xfrm>
                                <a:prstGeom prst="rect">
                                  <a:avLst/>
                                </a:prstGeom>
                                <a:noFill/>
                                <a:ln>
                                  <a:noFill/>
                                </a:ln>
                              </pic:spPr>
                            </pic:pic>
                          </a:graphicData>
                        </a:graphic>
                      </wp:inline>
                    </w:drawing>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备注：编号的前两个字母为类别代号，中间四位为企业名称拼音简写，后两位为排放口顺序编号。排放口的顺序编号数字由各企业自行规定。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2排污口建档管理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排污单位应建立监测点位档案，档案内容除应包括监测点位二维码涵盖的信息外，还应包括对监测点位的管理记录，包括对标志牌的标志是否清晰完整，监测平台、监测梯、监测孔、自动监控设备等是否能正常运行等方面的检查记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sz w:val="21"/>
                <w:szCs w:val="21"/>
              </w:rPr>
              <w:t>（2）监测点位的有关建筑物及相关设施属环境保护设施的组成部分，排污单位应制定相应的管理办法和规章制度，选派专职人员对监测点位进行管理，定期进行防锈及防腐等的维护，确保正常安全使用，并保存相关管理记录，配</w:t>
            </w:r>
            <w:r>
              <w:rPr>
                <w:rFonts w:hint="default" w:ascii="Times New Roman" w:hAnsi="Times New Roman" w:eastAsia="宋体" w:cs="Times New Roman"/>
                <w:bCs/>
                <w:color w:val="auto"/>
                <w:sz w:val="21"/>
                <w:szCs w:val="21"/>
              </w:rPr>
              <w:t>合测试人员开展监测工作。</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（3）监测点位信息变化时，排污单位应及时更换标志牌相应内容。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3、与排污许可证的衔接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szCs w:val="21"/>
              </w:rPr>
            </w:pPr>
            <w:r>
              <w:rPr>
                <w:rFonts w:hint="default" w:ascii="Times New Roman" w:hAnsi="Times New Roman" w:eastAsia="宋体" w:cs="Times New Roman"/>
                <w:bCs/>
                <w:sz w:val="21"/>
                <w:szCs w:val="21"/>
              </w:rPr>
              <w:t>依据《国务院办公厅关于印发&lt;控制污染物排放许可制度实施方案&gt;的通知》(国办发[2016]81号)中相关要求，环境影响评价制度是建设项目的环境准入门槛，排污许可制是企业单位在生产营运期排污的法律依据，必须做好充分衔接，实现从污染预防到污染治理和排放控制的全过程监管。本项目为</w:t>
            </w:r>
            <w:r>
              <w:rPr>
                <w:rFonts w:hint="eastAsia" w:ascii="Times New Roman" w:hAnsi="Times New Roman" w:eastAsia="宋体" w:cs="Times New Roman"/>
                <w:bCs/>
                <w:sz w:val="21"/>
                <w:szCs w:val="21"/>
              </w:rPr>
              <w:t>登记</w:t>
            </w:r>
            <w:r>
              <w:rPr>
                <w:rFonts w:hint="default" w:ascii="Times New Roman" w:hAnsi="Times New Roman" w:eastAsia="宋体" w:cs="Times New Roman"/>
                <w:bCs/>
                <w:sz w:val="21"/>
                <w:szCs w:val="21"/>
              </w:rPr>
              <w:t>管理，根据原环境保护部部令第11号《固定污染源排污许可证分类管理名录（2019年版）》的有关规定，本项目属于“</w:t>
            </w:r>
            <w:r>
              <w:rPr>
                <w:rFonts w:hint="eastAsia" w:ascii="Times New Roman" w:hAnsi="Times New Roman" w:eastAsia="宋体" w:cs="Times New Roman"/>
                <w:bCs/>
                <w:sz w:val="21"/>
                <w:szCs w:val="21"/>
                <w:lang w:val="en-US" w:eastAsia="zh-CN"/>
              </w:rPr>
              <w:t>二十四</w:t>
            </w:r>
            <w:r>
              <w:rPr>
                <w:rFonts w:hint="default" w:ascii="Times New Roman" w:hAnsi="Times New Roman" w:eastAsia="宋体" w:cs="Times New Roman"/>
                <w:bCs/>
                <w:sz w:val="21"/>
                <w:szCs w:val="21"/>
              </w:rPr>
              <w:t>、</w:t>
            </w:r>
            <w:r>
              <w:rPr>
                <w:rFonts w:hint="eastAsia" w:ascii="Times New Roman" w:hAnsi="Times New Roman" w:eastAsia="宋体" w:cs="Times New Roman"/>
                <w:bCs/>
                <w:sz w:val="21"/>
                <w:szCs w:val="21"/>
                <w:lang w:val="en-US" w:eastAsia="zh-CN"/>
              </w:rPr>
              <w:t>橡胶和塑料制品业29</w:t>
            </w:r>
            <w:r>
              <w:rPr>
                <w:rFonts w:hint="default" w:ascii="Times New Roman" w:hAnsi="Times New Roman" w:eastAsia="宋体" w:cs="Times New Roman"/>
                <w:bCs/>
                <w:sz w:val="21"/>
                <w:szCs w:val="21"/>
              </w:rPr>
              <w:t xml:space="preserve">”中 " </w:t>
            </w:r>
            <w:r>
              <w:rPr>
                <w:rFonts w:hint="eastAsia" w:ascii="Times New Roman" w:hAnsi="Times New Roman" w:eastAsia="宋体" w:cs="Times New Roman"/>
                <w:bCs/>
                <w:sz w:val="21"/>
                <w:szCs w:val="21"/>
                <w:lang w:val="en-US" w:eastAsia="zh-CN"/>
              </w:rPr>
              <w:t>塑料制品业292</w:t>
            </w:r>
            <w:r>
              <w:rPr>
                <w:rFonts w:hint="default" w:ascii="Times New Roman" w:hAnsi="Times New Roman" w:eastAsia="宋体" w:cs="Times New Roman"/>
                <w:bCs/>
                <w:sz w:val="21"/>
                <w:szCs w:val="21"/>
              </w:rPr>
              <w:t>" 的行业类别，需要进行排污许可登记管理。企业应按规要求进行排污登记，并按照《排污单位环境管理台账及排污许可证执行报告技术规范总则（试行）》 ( HJ944-2018) 填报排污许可证执行报告及环境管理台账。</w:t>
            </w:r>
          </w:p>
        </w:tc>
      </w:tr>
    </w:tbl>
    <w:p>
      <w:pPr>
        <w:pStyle w:val="18"/>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2"/>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center"/>
          </w:tcPr>
          <w:p>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rPr>
            </w:pPr>
          </w:p>
          <w:p>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rPr>
              <w:t>项目符合国家、地方产业政策</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位于黑龙江省牡丹江市宁安市东京城镇振兴村，占地为建设用地。项目采用</w:t>
            </w:r>
            <w:r>
              <w:rPr>
                <w:rFonts w:hint="eastAsia" w:ascii="宋体" w:hAnsi="宋体" w:eastAsia="宋体" w:cs="宋体"/>
                <w:color w:val="auto"/>
                <w:sz w:val="24"/>
                <w:szCs w:val="24"/>
              </w:rPr>
              <w:t>生产工艺与设备符合国家要求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项目</w:t>
            </w:r>
            <w:r>
              <w:rPr>
                <w:rFonts w:hint="eastAsia" w:ascii="宋体" w:hAnsi="宋体" w:eastAsia="宋体" w:cs="宋体"/>
                <w:color w:val="auto"/>
                <w:sz w:val="24"/>
                <w:szCs w:val="24"/>
                <w:shd w:val="clear" w:color="auto" w:fill="auto"/>
              </w:rPr>
              <w:t>废水、废气、噪声和固体废物采取本</w:t>
            </w:r>
            <w:r>
              <w:rPr>
                <w:rFonts w:hint="eastAsia" w:ascii="宋体" w:hAnsi="宋体" w:eastAsia="宋体" w:cs="宋体"/>
                <w:color w:val="000000" w:themeColor="text1"/>
                <w:sz w:val="24"/>
                <w:szCs w:val="24"/>
                <w:shd w:val="clear" w:color="auto" w:fill="auto"/>
                <w14:textFill>
                  <w14:solidFill>
                    <w14:schemeClr w14:val="tx1"/>
                  </w14:solidFill>
                </w14:textFill>
              </w:rPr>
              <w:t>报告中提出的防治措施治理后，能够达标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国家规定的</w:t>
            </w:r>
            <w:r>
              <w:rPr>
                <w:rFonts w:hint="eastAsia" w:ascii="宋体" w:hAnsi="宋体" w:eastAsia="宋体" w:cs="宋体"/>
                <w:color w:val="000000" w:themeColor="text1"/>
                <w:sz w:val="24"/>
                <w:szCs w:val="24"/>
                <w:shd w:val="clear" w:color="auto" w:fill="auto"/>
                <w14:textFill>
                  <w14:solidFill>
                    <w14:schemeClr w14:val="tx1"/>
                  </w14:solidFill>
                </w14:textFill>
              </w:rPr>
              <w:t>排放</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标准</w:t>
            </w:r>
            <w:r>
              <w:rPr>
                <w:rFonts w:hint="eastAsia" w:ascii="宋体" w:hAnsi="宋体" w:eastAsia="宋体" w:cs="宋体"/>
                <w:color w:val="000000" w:themeColor="text1"/>
                <w:sz w:val="24"/>
                <w:szCs w:val="24"/>
                <w:shd w:val="clear" w:color="auto" w:fill="auto"/>
                <w14:textFill>
                  <w14:solidFill>
                    <w14:schemeClr w14:val="tx1"/>
                  </w14:solidFill>
                </w14:textFill>
              </w:rPr>
              <w:t>，不会对周围的水、大气、声及生态环境造成不良影响。</w:t>
            </w:r>
          </w:p>
          <w:p>
            <w:pPr>
              <w:keepNext w:val="0"/>
              <w:keepLines w:val="0"/>
              <w:suppressLineNumbers w:val="0"/>
              <w:spacing w:before="0" w:beforeAutospacing="0" w:after="0" w:afterAutospacing="0" w:line="360" w:lineRule="auto"/>
              <w:ind w:left="0" w:right="0" w:firstLine="480" w:firstLineChars="200"/>
              <w:jc w:val="both"/>
              <w:rPr>
                <w:rFonts w:hint="default" w:ascii="宋体" w:hAnsi="Times New Roman" w:cs="宋体"/>
                <w:sz w:val="22"/>
                <w:szCs w:val="22"/>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项目单位</w:t>
            </w:r>
            <w:r>
              <w:rPr>
                <w:rFonts w:hint="eastAsia" w:ascii="宋体" w:hAnsi="宋体" w:eastAsia="宋体" w:cs="宋体"/>
                <w:color w:val="000000" w:themeColor="text1"/>
                <w:sz w:val="24"/>
                <w:szCs w:val="24"/>
                <w:shd w:val="clear" w:color="auto" w:fill="auto"/>
                <w14:textFill>
                  <w14:solidFill>
                    <w14:schemeClr w14:val="tx1"/>
                  </w14:solidFill>
                </w14:textFill>
              </w:rPr>
              <w:t>应严格执行环保</w:t>
            </w:r>
            <w:r>
              <w:rPr>
                <w:rFonts w:hint="eastAsia" w:ascii="宋体" w:hAnsi="宋体" w:eastAsia="宋体" w:cs="宋体"/>
                <w:color w:val="000000" w:themeColor="text1"/>
                <w:sz w:val="24"/>
                <w:szCs w:val="24"/>
                <w14:textFill>
                  <w14:solidFill>
                    <w14:schemeClr w14:val="tx1"/>
                  </w14:solidFill>
                </w14:textFill>
              </w:rPr>
              <w:t>“三同时”制度，落实本报告中的各项环保措施，且相应的环保措施必须经自主验收合格后方可投入使用，并确保有关环保治理设施能够正常运行，则从环境保护角度分析，本项目建设是可行的</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8"/>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2"/>
        <w:tblW w:w="1383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310"/>
        <w:gridCol w:w="1714"/>
        <w:gridCol w:w="858"/>
        <w:gridCol w:w="1642"/>
        <w:gridCol w:w="2058"/>
        <w:gridCol w:w="1800"/>
        <w:gridCol w:w="1844"/>
        <w:gridCol w:w="1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889" w:type="dxa"/>
            <w:tcBorders>
              <w:tl2br w:val="single" w:color="auto" w:sz="4" w:space="0"/>
            </w:tcBorders>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37"/>
              <w:keepNext w:val="0"/>
              <w:keepLines w:val="0"/>
              <w:suppressLineNumbers w:val="0"/>
              <w:spacing w:before="0" w:beforeLines="0" w:beforeAutospacing="0" w:after="0" w:afterLines="0" w:afterAutospacing="0" w:line="240" w:lineRule="auto"/>
              <w:ind w:left="0" w:right="0"/>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310"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14"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现有工程</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1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①</w:t>
            </w:r>
            <w:r>
              <w:rPr>
                <w:rFonts w:hint="default" w:ascii="黑体" w:hAnsi="黑体" w:eastAsia="黑体" w:cs="Times New Roman"/>
                <w:snapToGrid w:val="0"/>
                <w:color w:val="000000"/>
                <w:spacing w:val="-6"/>
                <w:kern w:val="21"/>
                <w:szCs w:val="21"/>
              </w:rPr>
              <w:fldChar w:fldCharType="end"/>
            </w:r>
          </w:p>
        </w:tc>
        <w:tc>
          <w:tcPr>
            <w:tcW w:w="858"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现有工程</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许可排放量</w:t>
            </w:r>
          </w:p>
          <w:p>
            <w:pPr>
              <w:pStyle w:val="37"/>
              <w:keepNext w:val="0"/>
              <w:keepLines w:val="0"/>
              <w:suppressLineNumbers w:val="0"/>
              <w:spacing w:before="0" w:beforeLines="0" w:beforeAutospacing="0" w:after="0" w:afterLines="0" w:afterAutospacing="0"/>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2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hint="default" w:ascii="黑体" w:hAnsi="黑体" w:eastAsia="黑体" w:cs="Times New Roman"/>
                <w:snapToGrid w:val="0"/>
                <w:color w:val="000000"/>
                <w:spacing w:val="-6"/>
                <w:kern w:val="21"/>
                <w:szCs w:val="21"/>
              </w:rPr>
              <w:fldChar w:fldCharType="end"/>
            </w:r>
          </w:p>
        </w:tc>
        <w:tc>
          <w:tcPr>
            <w:tcW w:w="1642"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在建工程</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3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③</w:t>
            </w:r>
            <w:r>
              <w:rPr>
                <w:rFonts w:hint="default" w:ascii="黑体" w:hAnsi="黑体" w:eastAsia="黑体" w:cs="Times New Roman"/>
                <w:snapToGrid w:val="0"/>
                <w:color w:val="000000"/>
                <w:spacing w:val="-6"/>
                <w:kern w:val="21"/>
                <w:szCs w:val="21"/>
              </w:rPr>
              <w:fldChar w:fldCharType="end"/>
            </w:r>
          </w:p>
        </w:tc>
        <w:tc>
          <w:tcPr>
            <w:tcW w:w="2058"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本项目</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排放量（固</w:t>
            </w:r>
            <w:r>
              <w:rPr>
                <w:rFonts w:hint="eastAsia" w:ascii="黑体" w:hAnsi="黑体" w:eastAsia="黑体" w:cs="Times New Roman"/>
                <w:snapToGrid w:val="0"/>
                <w:color w:val="000000"/>
                <w:spacing w:val="-6"/>
                <w:kern w:val="21"/>
                <w:szCs w:val="21"/>
              </w:rPr>
              <w:t>体</w:t>
            </w:r>
            <w:r>
              <w:rPr>
                <w:rFonts w:hint="default" w:ascii="黑体" w:hAnsi="黑体" w:eastAsia="黑体" w:cs="Times New Roman"/>
                <w:snapToGrid w:val="0"/>
                <w:color w:val="000000"/>
                <w:spacing w:val="-6"/>
                <w:kern w:val="21"/>
                <w:szCs w:val="21"/>
              </w:rPr>
              <w:t>废</w:t>
            </w:r>
            <w:r>
              <w:rPr>
                <w:rFonts w:hint="eastAsia" w:ascii="黑体" w:hAnsi="黑体" w:eastAsia="黑体" w:cs="Times New Roman"/>
                <w:snapToGrid w:val="0"/>
                <w:color w:val="000000"/>
                <w:spacing w:val="-6"/>
                <w:kern w:val="21"/>
                <w:szCs w:val="21"/>
              </w:rPr>
              <w:t>物</w:t>
            </w:r>
            <w:r>
              <w:rPr>
                <w:rFonts w:hint="default" w:ascii="黑体" w:hAnsi="黑体" w:eastAsia="黑体" w:cs="Times New Roman"/>
                <w:snapToGrid w:val="0"/>
                <w:color w:val="000000"/>
                <w:spacing w:val="-6"/>
                <w:kern w:val="21"/>
                <w:szCs w:val="21"/>
              </w:rPr>
              <w:t>产生量）</w:t>
            </w: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4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④</w:t>
            </w:r>
            <w:r>
              <w:rPr>
                <w:rFonts w:hint="default" w:ascii="黑体" w:hAnsi="黑体" w:eastAsia="黑体" w:cs="Times New Roman"/>
                <w:snapToGrid w:val="0"/>
                <w:color w:val="000000"/>
                <w:spacing w:val="-6"/>
                <w:kern w:val="21"/>
                <w:szCs w:val="21"/>
              </w:rPr>
              <w:fldChar w:fldCharType="end"/>
            </w:r>
          </w:p>
        </w:tc>
        <w:tc>
          <w:tcPr>
            <w:tcW w:w="1800"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以新带老削减量</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（新建项目不填）</w:t>
            </w:r>
            <w:r>
              <w:rPr>
                <w:rFonts w:hint="default" w:ascii="黑体" w:hAnsi="黑体" w:eastAsia="黑体" w:cs="Times New Roman"/>
                <w:snapToGrid w:val="0"/>
                <w:color w:val="000000"/>
                <w:spacing w:val="-16"/>
                <w:kern w:val="21"/>
                <w:szCs w:val="21"/>
              </w:rPr>
              <w:fldChar w:fldCharType="begin"/>
            </w:r>
            <w:r>
              <w:rPr>
                <w:rFonts w:hint="default" w:ascii="黑体" w:hAnsi="黑体" w:eastAsia="黑体" w:cs="Times New Roman"/>
                <w:snapToGrid w:val="0"/>
                <w:color w:val="000000"/>
                <w:spacing w:val="-16"/>
                <w:kern w:val="21"/>
                <w:szCs w:val="21"/>
              </w:rPr>
              <w:instrText xml:space="preserve"> = 5 \* GB3 \* MERGEFORMAT </w:instrText>
            </w:r>
            <w:r>
              <w:rPr>
                <w:rFonts w:hint="default" w:ascii="黑体" w:hAnsi="黑体" w:eastAsia="黑体" w:cs="Times New Roman"/>
                <w:snapToGrid w:val="0"/>
                <w:color w:val="000000"/>
                <w:spacing w:val="-16"/>
                <w:kern w:val="21"/>
                <w:szCs w:val="21"/>
              </w:rPr>
              <w:fldChar w:fldCharType="separate"/>
            </w:r>
            <w:r>
              <w:rPr>
                <w:rFonts w:hint="eastAsia" w:ascii="黑体" w:hAnsi="黑体" w:eastAsia="黑体" w:cs="宋体"/>
                <w:kern w:val="2"/>
                <w:szCs w:val="21"/>
              </w:rPr>
              <w:t>⑤</w:t>
            </w:r>
            <w:r>
              <w:rPr>
                <w:rFonts w:hint="default" w:ascii="黑体" w:hAnsi="黑体" w:eastAsia="黑体" w:cs="Times New Roman"/>
                <w:snapToGrid w:val="0"/>
                <w:color w:val="000000"/>
                <w:spacing w:val="-16"/>
                <w:kern w:val="21"/>
                <w:szCs w:val="21"/>
              </w:rPr>
              <w:fldChar w:fldCharType="end"/>
            </w:r>
          </w:p>
        </w:tc>
        <w:tc>
          <w:tcPr>
            <w:tcW w:w="1844"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eastAsia" w:ascii="黑体" w:hAnsi="黑体" w:eastAsia="黑体" w:cs="Times New Roman"/>
                <w:snapToGrid w:val="0"/>
                <w:color w:val="000000"/>
                <w:spacing w:val="-16"/>
                <w:kern w:val="21"/>
                <w:szCs w:val="21"/>
              </w:rPr>
            </w:pPr>
            <w:r>
              <w:rPr>
                <w:rFonts w:hint="default" w:ascii="黑体" w:hAnsi="黑体" w:eastAsia="黑体" w:cs="Times New Roman"/>
                <w:snapToGrid w:val="0"/>
                <w:color w:val="000000"/>
                <w:spacing w:val="-16"/>
                <w:kern w:val="21"/>
                <w:szCs w:val="21"/>
              </w:rPr>
              <w:t>本项目建成后</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16"/>
                <w:kern w:val="21"/>
                <w:szCs w:val="21"/>
              </w:rPr>
            </w:pPr>
            <w:r>
              <w:rPr>
                <w:rFonts w:hint="eastAsia" w:ascii="黑体" w:hAnsi="黑体" w:eastAsia="黑体" w:cs="Times New Roman"/>
                <w:snapToGrid w:val="0"/>
                <w:color w:val="000000"/>
                <w:spacing w:val="-16"/>
                <w:kern w:val="21"/>
                <w:szCs w:val="21"/>
              </w:rPr>
              <w:t>全厂</w:t>
            </w:r>
            <w:r>
              <w:rPr>
                <w:rFonts w:hint="default" w:ascii="黑体" w:hAnsi="黑体" w:eastAsia="黑体" w:cs="Times New Roman"/>
                <w:snapToGrid w:val="0"/>
                <w:color w:val="000000"/>
                <w:spacing w:val="-16"/>
                <w:kern w:val="21"/>
                <w:szCs w:val="21"/>
              </w:rPr>
              <w:t>排放量（固</w:t>
            </w:r>
            <w:r>
              <w:rPr>
                <w:rFonts w:hint="eastAsia" w:ascii="黑体" w:hAnsi="黑体" w:eastAsia="黑体" w:cs="Times New Roman"/>
                <w:snapToGrid w:val="0"/>
                <w:color w:val="000000"/>
                <w:spacing w:val="-16"/>
                <w:kern w:val="21"/>
                <w:szCs w:val="21"/>
              </w:rPr>
              <w:t>体</w:t>
            </w:r>
            <w:r>
              <w:rPr>
                <w:rFonts w:hint="default" w:ascii="黑体" w:hAnsi="黑体" w:eastAsia="黑体" w:cs="Times New Roman"/>
                <w:snapToGrid w:val="0"/>
                <w:color w:val="000000"/>
                <w:spacing w:val="-16"/>
                <w:kern w:val="21"/>
                <w:szCs w:val="21"/>
              </w:rPr>
              <w:t>废</w:t>
            </w:r>
            <w:r>
              <w:rPr>
                <w:rFonts w:hint="eastAsia" w:ascii="黑体" w:hAnsi="黑体" w:eastAsia="黑体" w:cs="Times New Roman"/>
                <w:snapToGrid w:val="0"/>
                <w:color w:val="000000"/>
                <w:spacing w:val="-16"/>
                <w:kern w:val="21"/>
                <w:szCs w:val="21"/>
              </w:rPr>
              <w:t>物</w:t>
            </w:r>
            <w:r>
              <w:rPr>
                <w:rFonts w:hint="default" w:ascii="黑体" w:hAnsi="黑体" w:eastAsia="黑体" w:cs="Times New Roman"/>
                <w:snapToGrid w:val="0"/>
                <w:color w:val="000000"/>
                <w:spacing w:val="-16"/>
                <w:kern w:val="21"/>
                <w:szCs w:val="21"/>
              </w:rPr>
              <w:t>产生量）</w:t>
            </w:r>
            <w:r>
              <w:rPr>
                <w:rFonts w:hint="default" w:ascii="黑体" w:hAnsi="黑体" w:eastAsia="黑体" w:cs="Times New Roman"/>
                <w:snapToGrid w:val="0"/>
                <w:color w:val="000000"/>
                <w:spacing w:val="-16"/>
                <w:kern w:val="21"/>
                <w:szCs w:val="21"/>
              </w:rPr>
              <w:fldChar w:fldCharType="begin"/>
            </w:r>
            <w:r>
              <w:rPr>
                <w:rFonts w:hint="default" w:ascii="黑体" w:hAnsi="黑体" w:eastAsia="黑体" w:cs="Times New Roman"/>
                <w:snapToGrid w:val="0"/>
                <w:color w:val="000000"/>
                <w:spacing w:val="-16"/>
                <w:kern w:val="21"/>
                <w:szCs w:val="21"/>
              </w:rPr>
              <w:instrText xml:space="preserve"> = 6 \* GB3 \* MERGEFORMAT </w:instrText>
            </w:r>
            <w:r>
              <w:rPr>
                <w:rFonts w:hint="default" w:ascii="黑体" w:hAnsi="黑体" w:eastAsia="黑体" w:cs="Times New Roman"/>
                <w:snapToGrid w:val="0"/>
                <w:color w:val="000000"/>
                <w:spacing w:val="-16"/>
                <w:kern w:val="21"/>
                <w:szCs w:val="21"/>
              </w:rPr>
              <w:fldChar w:fldCharType="separate"/>
            </w:r>
            <w:r>
              <w:rPr>
                <w:rFonts w:hint="eastAsia" w:ascii="黑体" w:hAnsi="黑体" w:eastAsia="黑体" w:cs="宋体"/>
                <w:kern w:val="2"/>
                <w:szCs w:val="21"/>
              </w:rPr>
              <w:t>⑥</w:t>
            </w:r>
            <w:r>
              <w:rPr>
                <w:rFonts w:hint="default" w:ascii="黑体" w:hAnsi="黑体" w:eastAsia="黑体" w:cs="Times New Roman"/>
                <w:snapToGrid w:val="0"/>
                <w:color w:val="000000"/>
                <w:spacing w:val="-16"/>
                <w:kern w:val="21"/>
                <w:szCs w:val="21"/>
              </w:rPr>
              <w:fldChar w:fldCharType="end"/>
            </w:r>
          </w:p>
        </w:tc>
        <w:tc>
          <w:tcPr>
            <w:tcW w:w="1717" w:type="dxa"/>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t>变化量</w:t>
            </w:r>
          </w:p>
          <w:p>
            <w:pPr>
              <w:pStyle w:val="37"/>
              <w:keepNext w:val="0"/>
              <w:keepLines w:val="0"/>
              <w:suppressLineNumbers w:val="0"/>
              <w:spacing w:before="0" w:beforeLines="0" w:beforeAutospacing="0" w:after="0" w:afterLines="0" w:afterAutospacing="0" w:line="240" w:lineRule="auto"/>
              <w:ind w:left="0" w:right="0"/>
              <w:rPr>
                <w:rFonts w:hint="default" w:ascii="黑体" w:hAnsi="黑体" w:eastAsia="黑体" w:cs="Times New Roman"/>
                <w:snapToGrid w:val="0"/>
                <w:color w:val="000000"/>
                <w:spacing w:val="-6"/>
                <w:kern w:val="21"/>
                <w:szCs w:val="21"/>
              </w:rPr>
            </w:pPr>
            <w:r>
              <w:rPr>
                <w:rFonts w:hint="default" w:ascii="黑体" w:hAnsi="黑体" w:eastAsia="黑体" w:cs="Times New Roman"/>
                <w:snapToGrid w:val="0"/>
                <w:color w:val="000000"/>
                <w:spacing w:val="-6"/>
                <w:kern w:val="21"/>
                <w:szCs w:val="21"/>
              </w:rPr>
              <w:fldChar w:fldCharType="begin"/>
            </w:r>
            <w:r>
              <w:rPr>
                <w:rFonts w:hint="default" w:ascii="黑体" w:hAnsi="黑体" w:eastAsia="黑体" w:cs="Times New Roman"/>
                <w:snapToGrid w:val="0"/>
                <w:color w:val="000000"/>
                <w:spacing w:val="-6"/>
                <w:kern w:val="21"/>
                <w:szCs w:val="21"/>
              </w:rPr>
              <w:instrText xml:space="preserve"> = 7 \* GB3 \* MERGEFORMAT </w:instrText>
            </w:r>
            <w:r>
              <w:rPr>
                <w:rFonts w:hint="default" w:ascii="黑体" w:hAnsi="黑体" w:eastAsia="黑体" w:cs="Times New Roman"/>
                <w:snapToGrid w:val="0"/>
                <w:color w:val="000000"/>
                <w:spacing w:val="-6"/>
                <w:kern w:val="21"/>
                <w:szCs w:val="21"/>
              </w:rPr>
              <w:fldChar w:fldCharType="separate"/>
            </w:r>
            <w:r>
              <w:rPr>
                <w:rFonts w:hint="eastAsia" w:ascii="黑体" w:hAnsi="黑体" w:eastAsia="黑体" w:cs="宋体"/>
                <w:kern w:val="2"/>
                <w:szCs w:val="21"/>
              </w:rPr>
              <w:t>⑦</w:t>
            </w:r>
            <w:r>
              <w:rPr>
                <w:rFonts w:hint="default" w:ascii="黑体" w:hAnsi="黑体"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VOCs</w:t>
            </w:r>
          </w:p>
        </w:tc>
        <w:tc>
          <w:tcPr>
            <w:tcW w:w="1714"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858"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642"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2058"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0.27t/a</w:t>
            </w:r>
          </w:p>
        </w:tc>
        <w:tc>
          <w:tcPr>
            <w:tcW w:w="1800"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w:t>
            </w:r>
          </w:p>
        </w:tc>
        <w:tc>
          <w:tcPr>
            <w:tcW w:w="1844"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0.27t/a</w:t>
            </w:r>
          </w:p>
        </w:tc>
        <w:tc>
          <w:tcPr>
            <w:tcW w:w="1717"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+0.27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14"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858"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1642"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2058"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800"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844"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717"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Merge w:val="restart"/>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rPr>
            </w:pPr>
            <w:r>
              <w:rPr>
                <w:rFonts w:hint="eastAsia" w:hAnsi="宋体" w:cs="宋体"/>
                <w:snapToGrid w:val="0"/>
                <w:color w:val="000000"/>
                <w:kern w:val="21"/>
                <w:szCs w:val="21"/>
              </w:rPr>
              <w:t>一般工业</w:t>
            </w:r>
          </w:p>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生活垃圾</w:t>
            </w:r>
          </w:p>
        </w:tc>
        <w:tc>
          <w:tcPr>
            <w:tcW w:w="1714"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858"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1642"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2058"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0.5t/a</w:t>
            </w:r>
          </w:p>
        </w:tc>
        <w:tc>
          <w:tcPr>
            <w:tcW w:w="1800"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844"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0.5t/a</w:t>
            </w:r>
          </w:p>
        </w:tc>
        <w:tc>
          <w:tcPr>
            <w:tcW w:w="1717"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Merge w:val="continue"/>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rPr>
            </w:pP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废包装袋</w:t>
            </w:r>
          </w:p>
        </w:tc>
        <w:tc>
          <w:tcPr>
            <w:tcW w:w="1714"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858"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1642"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2058"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0.8t/a</w:t>
            </w:r>
          </w:p>
        </w:tc>
        <w:tc>
          <w:tcPr>
            <w:tcW w:w="1800"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844"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0.8t/a</w:t>
            </w:r>
          </w:p>
        </w:tc>
        <w:tc>
          <w:tcPr>
            <w:tcW w:w="1717"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Merge w:val="restart"/>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废活性炭</w:t>
            </w:r>
          </w:p>
        </w:tc>
        <w:tc>
          <w:tcPr>
            <w:tcW w:w="1714"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858"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1642"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rPr>
            </w:pPr>
            <w:r>
              <w:rPr>
                <w:rFonts w:hint="eastAsia" w:ascii="Times New Roman" w:hAnsi="宋体" w:cs="宋体"/>
                <w:snapToGrid w:val="0"/>
                <w:color w:val="000000"/>
                <w:kern w:val="21"/>
                <w:szCs w:val="21"/>
                <w:lang w:val="en-US" w:eastAsia="zh-CN"/>
              </w:rPr>
              <w:t>/</w:t>
            </w:r>
          </w:p>
        </w:tc>
        <w:tc>
          <w:tcPr>
            <w:tcW w:w="2058"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eastAsia="宋体" w:cs="宋体"/>
                <w:snapToGrid w:val="0"/>
                <w:color w:val="000000"/>
                <w:kern w:val="21"/>
                <w:szCs w:val="21"/>
                <w:highlight w:val="none"/>
                <w:lang w:val="en-US" w:eastAsia="zh-CN"/>
              </w:rPr>
            </w:pPr>
            <w:r>
              <w:rPr>
                <w:rFonts w:hint="eastAsia" w:hAnsi="宋体" w:cs="宋体"/>
                <w:snapToGrid w:val="0"/>
                <w:color w:val="000000"/>
                <w:kern w:val="21"/>
                <w:szCs w:val="21"/>
                <w:highlight w:val="none"/>
                <w:lang w:val="en-US" w:eastAsia="zh-CN"/>
              </w:rPr>
              <w:t>1t/a</w:t>
            </w:r>
          </w:p>
        </w:tc>
        <w:tc>
          <w:tcPr>
            <w:tcW w:w="1800"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highlight w:val="none"/>
              </w:rPr>
            </w:pPr>
            <w:r>
              <w:rPr>
                <w:rFonts w:hint="eastAsia" w:ascii="Times New Roman" w:hAnsi="宋体" w:cs="宋体"/>
                <w:snapToGrid w:val="0"/>
                <w:color w:val="000000"/>
                <w:kern w:val="21"/>
                <w:szCs w:val="21"/>
                <w:highlight w:val="none"/>
                <w:lang w:val="en-US" w:eastAsia="zh-CN"/>
              </w:rPr>
              <w:t>/</w:t>
            </w:r>
          </w:p>
        </w:tc>
        <w:tc>
          <w:tcPr>
            <w:tcW w:w="1844"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1t/a</w:t>
            </w:r>
          </w:p>
        </w:tc>
        <w:tc>
          <w:tcPr>
            <w:tcW w:w="1717"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highlight w:val="none"/>
              </w:rPr>
            </w:pPr>
            <w:r>
              <w:rPr>
                <w:rFonts w:hint="eastAsia" w:hAnsi="宋体" w:cs="宋体"/>
                <w:snapToGrid w:val="0"/>
                <w:color w:val="000000"/>
                <w:kern w:val="21"/>
                <w:szCs w:val="21"/>
                <w:highlight w:val="none"/>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89" w:type="dxa"/>
            <w:vMerge w:val="continue"/>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rPr>
            </w:pPr>
          </w:p>
        </w:tc>
        <w:tc>
          <w:tcPr>
            <w:tcW w:w="1310"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废机油</w:t>
            </w:r>
          </w:p>
        </w:tc>
        <w:tc>
          <w:tcPr>
            <w:tcW w:w="1714" w:type="dxa"/>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cs="宋体"/>
                <w:snapToGrid w:val="0"/>
                <w:color w:val="000000"/>
                <w:kern w:val="21"/>
                <w:szCs w:val="21"/>
                <w:lang w:val="en-US" w:eastAsia="zh-CN"/>
              </w:rPr>
            </w:pPr>
            <w:r>
              <w:rPr>
                <w:rFonts w:hint="eastAsia" w:ascii="Times New Roman" w:hAnsi="宋体" w:cs="宋体"/>
                <w:snapToGrid w:val="0"/>
                <w:color w:val="000000"/>
                <w:kern w:val="21"/>
                <w:szCs w:val="21"/>
                <w:lang w:val="en-US" w:eastAsia="zh-CN"/>
              </w:rPr>
              <w:t>/</w:t>
            </w:r>
          </w:p>
        </w:tc>
        <w:tc>
          <w:tcPr>
            <w:tcW w:w="858" w:type="dxa"/>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cs="宋体"/>
                <w:snapToGrid w:val="0"/>
                <w:color w:val="000000"/>
                <w:kern w:val="21"/>
                <w:szCs w:val="21"/>
                <w:lang w:val="en-US" w:eastAsia="zh-CN"/>
              </w:rPr>
            </w:pPr>
            <w:r>
              <w:rPr>
                <w:rFonts w:hint="eastAsia" w:ascii="Times New Roman" w:hAnsi="宋体" w:cs="宋体"/>
                <w:snapToGrid w:val="0"/>
                <w:color w:val="000000"/>
                <w:kern w:val="21"/>
                <w:szCs w:val="21"/>
                <w:lang w:val="en-US" w:eastAsia="zh-CN"/>
              </w:rPr>
              <w:t>/</w:t>
            </w:r>
          </w:p>
        </w:tc>
        <w:tc>
          <w:tcPr>
            <w:tcW w:w="1642" w:type="dxa"/>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hAnsi="宋体" w:cs="宋体"/>
                <w:snapToGrid w:val="0"/>
                <w:color w:val="000000"/>
                <w:kern w:val="21"/>
                <w:szCs w:val="21"/>
                <w:lang w:val="en-US" w:eastAsia="zh-CN"/>
              </w:rPr>
            </w:pPr>
            <w:r>
              <w:rPr>
                <w:rFonts w:hint="eastAsia" w:ascii="Times New Roman" w:hAnsi="宋体" w:cs="宋体"/>
                <w:snapToGrid w:val="0"/>
                <w:color w:val="000000"/>
                <w:kern w:val="21"/>
                <w:szCs w:val="21"/>
                <w:lang w:val="en-US" w:eastAsia="zh-CN"/>
              </w:rPr>
              <w:t>/</w:t>
            </w:r>
          </w:p>
        </w:tc>
        <w:tc>
          <w:tcPr>
            <w:tcW w:w="2058"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0.02t/a</w:t>
            </w:r>
          </w:p>
        </w:tc>
        <w:tc>
          <w:tcPr>
            <w:tcW w:w="1800" w:type="dxa"/>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844" w:type="dxa"/>
            <w:vAlign w:val="center"/>
          </w:tcPr>
          <w:p>
            <w:pPr>
              <w:pStyle w:val="37"/>
              <w:keepNext w:val="0"/>
              <w:keepLines w:val="0"/>
              <w:suppressLineNumbers w:val="0"/>
              <w:spacing w:before="0" w:beforeLines="0" w:beforeAutospacing="0" w:after="0" w:afterLines="0" w:afterAutospacing="0" w:line="240" w:lineRule="auto"/>
              <w:ind w:left="0" w:right="0"/>
              <w:rPr>
                <w:rFonts w:hint="eastAsia" w:hAnsi="宋体" w:cs="宋体"/>
                <w:snapToGrid w:val="0"/>
                <w:color w:val="000000"/>
                <w:kern w:val="21"/>
                <w:szCs w:val="21"/>
                <w:lang w:val="en-US" w:eastAsia="zh-CN"/>
              </w:rPr>
            </w:pPr>
            <w:r>
              <w:rPr>
                <w:rFonts w:hint="eastAsia" w:hAnsi="宋体" w:cs="宋体"/>
                <w:snapToGrid w:val="0"/>
                <w:color w:val="000000"/>
                <w:kern w:val="21"/>
                <w:szCs w:val="21"/>
                <w:lang w:val="en-US" w:eastAsia="zh-CN"/>
              </w:rPr>
              <w:t>0.02t/a</w:t>
            </w:r>
          </w:p>
        </w:tc>
        <w:tc>
          <w:tcPr>
            <w:tcW w:w="1717" w:type="dxa"/>
            <w:vAlign w:val="center"/>
          </w:tcPr>
          <w:p>
            <w:pPr>
              <w:pStyle w:val="37"/>
              <w:keepNext w:val="0"/>
              <w:keepLines w:val="0"/>
              <w:suppressLineNumbers w:val="0"/>
              <w:spacing w:before="0" w:beforeLines="0" w:beforeAutospacing="0" w:after="0" w:afterLines="0" w:afterAutospacing="0" w:line="240" w:lineRule="auto"/>
              <w:ind w:left="0" w:right="0"/>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+0.02t/a</w:t>
            </w:r>
          </w:p>
        </w:tc>
      </w:tr>
    </w:tbl>
    <w:p>
      <w:pPr>
        <w:pStyle w:val="37"/>
        <w:spacing w:before="192" w:beforeLines="80" w:after="24"/>
        <w:jc w:val="left"/>
        <w:rPr>
          <w:rFonts w:hint="default"/>
          <w:lang w:val="en-US" w:eastAsia="zh-CN"/>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drawing>
          <wp:anchor distT="0" distB="0" distL="114300" distR="114300" simplePos="0" relativeHeight="251669504" behindDoc="0" locked="0" layoutInCell="1" allowOverlap="1">
            <wp:simplePos x="0" y="0"/>
            <wp:positionH relativeFrom="column">
              <wp:posOffset>7649845</wp:posOffset>
            </wp:positionH>
            <wp:positionV relativeFrom="paragraph">
              <wp:posOffset>-5376545</wp:posOffset>
            </wp:positionV>
            <wp:extent cx="782320" cy="847725"/>
            <wp:effectExtent l="0" t="0" r="17780" b="9525"/>
            <wp:wrapNone/>
            <wp:docPr id="1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8"/>
                    <pic:cNvPicPr>
                      <a:picLocks noChangeAspect="1"/>
                    </pic:cNvPicPr>
                  </pic:nvPicPr>
                  <pic:blipFill>
                    <a:blip r:embed="rId31"/>
                    <a:stretch>
                      <a:fillRect/>
                    </a:stretch>
                  </pic:blipFill>
                  <pic:spPr>
                    <a:xfrm>
                      <a:off x="0" y="0"/>
                      <a:ext cx="782320" cy="847725"/>
                    </a:xfrm>
                    <a:prstGeom prst="rect">
                      <a:avLst/>
                    </a:prstGeom>
                    <a:noFill/>
                    <a:ln>
                      <a:noFill/>
                    </a:ln>
                  </pic:spPr>
                </pic:pic>
              </a:graphicData>
            </a:graphic>
          </wp:anchor>
        </w:drawing>
      </w:r>
      <w:r>
        <w:rPr>
          <w:sz w:val="24"/>
        </w:rPr>
        <mc:AlternateContent>
          <mc:Choice Requires="wps">
            <w:drawing>
              <wp:anchor distT="0" distB="0" distL="114300" distR="114300" simplePos="0" relativeHeight="251671552" behindDoc="0" locked="0" layoutInCell="1" allowOverlap="1">
                <wp:simplePos x="0" y="0"/>
                <wp:positionH relativeFrom="column">
                  <wp:posOffset>2275840</wp:posOffset>
                </wp:positionH>
                <wp:positionV relativeFrom="paragraph">
                  <wp:posOffset>-2645410</wp:posOffset>
                </wp:positionV>
                <wp:extent cx="773430" cy="300355"/>
                <wp:effectExtent l="4445" t="5080" r="288925" b="380365"/>
                <wp:wrapNone/>
                <wp:docPr id="21" name="自选图形 143"/>
                <wp:cNvGraphicFramePr/>
                <a:graphic xmlns:a="http://schemas.openxmlformats.org/drawingml/2006/main">
                  <a:graphicData uri="http://schemas.microsoft.com/office/word/2010/wordprocessingShape">
                    <wps:wsp>
                      <wps:cNvSpPr/>
                      <wps:spPr>
                        <a:xfrm>
                          <a:off x="0" y="0"/>
                          <a:ext cx="773430" cy="300355"/>
                        </a:xfrm>
                        <a:prstGeom prst="wedgeRectCallout">
                          <a:avLst>
                            <a:gd name="adj1" fmla="val 81034"/>
                            <a:gd name="adj2" fmla="val 16458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项目位置</w:t>
                            </w:r>
                          </w:p>
                        </w:txbxContent>
                      </wps:txbx>
                      <wps:bodyPr wrap="square" upright="1"/>
                    </wps:wsp>
                  </a:graphicData>
                </a:graphic>
              </wp:anchor>
            </w:drawing>
          </mc:Choice>
          <mc:Fallback>
            <w:pict>
              <v:shape id="自选图形 143" o:spid="_x0000_s1026" o:spt="61" type="#_x0000_t61" style="position:absolute;left:0pt;margin-left:179.2pt;margin-top:-208.3pt;height:23.65pt;width:60.9pt;z-index:251671552;mso-width-relative:page;mso-height-relative:page;" fillcolor="#FFFFFF" filled="t" stroked="t" coordsize="21600,21600" o:gfxdata="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o5W7NkAAAANAQAADwAAAAAAAAABACAAAAAiAAAAZHJzL2Rvd25yZXYueG1sUEsBAhQA&#10;FAAAAAgAh07iQEDiXikqAgAATwQAAA4AAAAAAAAAAQAgAAAAKAEAAGRycy9lMm9Eb2MueG1sUEsF&#10;BgAAAAAGAAYAWQEAAMQFAAAAAA==&#10;" adj="28303,46351">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项目位置</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3314065</wp:posOffset>
                </wp:positionH>
                <wp:positionV relativeFrom="paragraph">
                  <wp:posOffset>-2011680</wp:posOffset>
                </wp:positionV>
                <wp:extent cx="75565" cy="75565"/>
                <wp:effectExtent l="12700" t="0" r="26035" b="27305"/>
                <wp:wrapNone/>
                <wp:docPr id="53" name="十字星 53"/>
                <wp:cNvGraphicFramePr/>
                <a:graphic xmlns:a="http://schemas.openxmlformats.org/drawingml/2006/main">
                  <a:graphicData uri="http://schemas.microsoft.com/office/word/2010/wordprocessingShape">
                    <wps:wsp>
                      <wps:cNvSpPr/>
                      <wps:spPr>
                        <a:xfrm>
                          <a:off x="4394200" y="4679315"/>
                          <a:ext cx="75565" cy="7556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60.95pt;margin-top:-158.4pt;height:5.95pt;width:5.95pt;z-index:251680768;v-text-anchor:middle;mso-width-relative:page;mso-height-relative:page;" fillcolor="#4F81BD [3204]" filled="t" stroked="t" coordsize="21600,21600" o:gfxdata="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TYPWrdAAAADQEAAA8AAAAAAAAAAQAgAAAAIgAAAGRycy9kb3ducmV2&#10;LnhtbFBLAQIUABQAAAAIAIdO4kDlE0h4aQIAAL8EAAAOAAAAAAAAAAEAIAAAACwBAABkcnMvZTJv&#10;RG9jLnhtbFBLBQYAAAAABgAGAFkBAAAHBgAAAAA=&#10;" adj="8100">
                <v:fill on="t" focussize="0,0"/>
                <v:stroke weight="2pt" color="#385D8A [3204]" joinstyle="round"/>
                <v:imagedata o:title=""/>
                <o:lock v:ext="edit" aspectratio="f"/>
              </v:shape>
            </w:pict>
          </mc:Fallback>
        </mc:AlternateContent>
      </w:r>
      <w:r>
        <w:drawing>
          <wp:anchor distT="0" distB="0" distL="114300" distR="114300" simplePos="0" relativeHeight="251679744" behindDoc="0" locked="0" layoutInCell="1" allowOverlap="1">
            <wp:simplePos x="0" y="0"/>
            <wp:positionH relativeFrom="column">
              <wp:posOffset>3406775</wp:posOffset>
            </wp:positionH>
            <wp:positionV relativeFrom="paragraph">
              <wp:posOffset>-2140585</wp:posOffset>
            </wp:positionV>
            <wp:extent cx="276225" cy="76200"/>
            <wp:effectExtent l="0" t="0" r="9525" b="0"/>
            <wp:wrapNone/>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2"/>
                    <a:stretch>
                      <a:fillRect/>
                    </a:stretch>
                  </pic:blipFill>
                  <pic:spPr>
                    <a:xfrm flipV="1">
                      <a:off x="0" y="0"/>
                      <a:ext cx="276225" cy="76200"/>
                    </a:xfrm>
                    <a:prstGeom prst="rect">
                      <a:avLst/>
                    </a:prstGeom>
                    <a:noFill/>
                    <a:ln>
                      <a:noFill/>
                    </a:ln>
                  </pic:spPr>
                </pic:pic>
              </a:graphicData>
            </a:graphic>
          </wp:anchor>
        </w:drawing>
      </w:r>
      <w:r>
        <w:br w:type="page"/>
      </w:r>
      <w:r>
        <w:drawing>
          <wp:anchor distT="0" distB="0" distL="114300" distR="114300" simplePos="0" relativeHeight="251670528" behindDoc="0" locked="0" layoutInCell="1" allowOverlap="1">
            <wp:simplePos x="0" y="0"/>
            <wp:positionH relativeFrom="column">
              <wp:posOffset>6624955</wp:posOffset>
            </wp:positionH>
            <wp:positionV relativeFrom="paragraph">
              <wp:posOffset>187325</wp:posOffset>
            </wp:positionV>
            <wp:extent cx="1082675" cy="1173480"/>
            <wp:effectExtent l="0" t="0" r="3175" b="7620"/>
            <wp:wrapNone/>
            <wp:docPr id="2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1"/>
                    <pic:cNvPicPr>
                      <a:picLocks noChangeAspect="1"/>
                    </pic:cNvPicPr>
                  </pic:nvPicPr>
                  <pic:blipFill>
                    <a:blip r:embed="rId31"/>
                    <a:stretch>
                      <a:fillRect/>
                    </a:stretch>
                  </pic:blipFill>
                  <pic:spPr>
                    <a:xfrm>
                      <a:off x="0" y="0"/>
                      <a:ext cx="1082675" cy="1173480"/>
                    </a:xfrm>
                    <a:prstGeom prst="rect">
                      <a:avLst/>
                    </a:prstGeom>
                    <a:noFill/>
                    <a:ln>
                      <a:noFill/>
                    </a:ln>
                  </pic:spPr>
                </pic:pic>
              </a:graphicData>
            </a:graphic>
          </wp:anchor>
        </w:drawing>
      </w:r>
    </w:p>
    <w:p>
      <w:pPr>
        <w:rPr>
          <w:rFonts w:hint="default"/>
          <w:lang w:val="en-US" w:eastAsia="zh-CN"/>
        </w:rPr>
      </w:pPr>
      <w:r>
        <w:rPr>
          <w:rFonts w:hint="default"/>
          <w:lang w:val="en-US" w:eastAsia="zh-CN"/>
        </w:rPr>
        <w:drawing>
          <wp:inline distT="0" distB="0" distL="114300" distR="114300">
            <wp:extent cx="5027295" cy="7231380"/>
            <wp:effectExtent l="0" t="0" r="1905" b="7620"/>
            <wp:docPr id="58" name="图片 58" descr="fa3ac0fd1d21a9593830e93d6116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a3ac0fd1d21a9593830e93d611646a"/>
                    <pic:cNvPicPr>
                      <a:picLocks noChangeAspect="1"/>
                    </pic:cNvPicPr>
                  </pic:nvPicPr>
                  <pic:blipFill>
                    <a:blip r:embed="rId33"/>
                    <a:stretch>
                      <a:fillRect/>
                    </a:stretch>
                  </pic:blipFill>
                  <pic:spPr>
                    <a:xfrm>
                      <a:off x="0" y="0"/>
                      <a:ext cx="5027295" cy="7231380"/>
                    </a:xfrm>
                    <a:prstGeom prst="rect">
                      <a:avLst/>
                    </a:prstGeom>
                  </pic:spPr>
                </pic:pic>
              </a:graphicData>
            </a:graphic>
          </wp:inline>
        </w:drawing>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eastAsia"/>
          <w:lang w:val="en-US" w:eastAsia="zh-CN"/>
        </w:rPr>
      </w:pPr>
      <w:r>
        <w:drawing>
          <wp:inline distT="0" distB="0" distL="114300" distR="114300">
            <wp:extent cx="5181600" cy="7838440"/>
            <wp:effectExtent l="0" t="0" r="0" b="1016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34"/>
                    <a:stretch>
                      <a:fillRect/>
                    </a:stretch>
                  </pic:blipFill>
                  <pic:spPr>
                    <a:xfrm>
                      <a:off x="0" y="0"/>
                      <a:ext cx="5181600" cy="783844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附件5 项目建设公众参与公告</w:t>
      </w:r>
    </w:p>
    <w:p>
      <w:pPr>
        <w:pStyle w:val="2"/>
        <w:rPr>
          <w:rFonts w:hint="default"/>
          <w:lang w:val="en-US" w:eastAsia="zh-CN"/>
        </w:rPr>
      </w:pPr>
      <w:r>
        <w:rPr>
          <w:rFonts w:hint="default"/>
          <w:lang w:val="en-US" w:eastAsia="zh-CN"/>
        </w:rPr>
        <w:drawing>
          <wp:inline distT="0" distB="0" distL="114300" distR="114300">
            <wp:extent cx="5120640" cy="2766695"/>
            <wp:effectExtent l="0" t="0" r="3810" b="14605"/>
            <wp:docPr id="60" name="图片 60" descr="67fe9af3c2d3cf0f377eb0d4d46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7fe9af3c2d3cf0f377eb0d4d468267"/>
                    <pic:cNvPicPr>
                      <a:picLocks noChangeAspect="1"/>
                    </pic:cNvPicPr>
                  </pic:nvPicPr>
                  <pic:blipFill>
                    <a:blip r:embed="rId35"/>
                    <a:srcRect l="17130"/>
                    <a:stretch>
                      <a:fillRect/>
                    </a:stretch>
                  </pic:blipFill>
                  <pic:spPr>
                    <a:xfrm>
                      <a:off x="0" y="0"/>
                      <a:ext cx="5120640" cy="2766695"/>
                    </a:xfrm>
                    <a:prstGeom prst="rect">
                      <a:avLst/>
                    </a:prstGeom>
                  </pic:spPr>
                </pic:pic>
              </a:graphicData>
            </a:graphic>
          </wp:inline>
        </w:drawing>
      </w:r>
    </w:p>
    <w:p>
      <w:pPr>
        <w:rPr>
          <w:rFonts w:hint="default"/>
          <w:lang w:val="en-US" w:eastAsia="zh-CN"/>
        </w:rPr>
      </w:pPr>
    </w:p>
    <w:p>
      <w:pPr>
        <w:pStyle w:val="6"/>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附件6项目建设公众参与调查表格</w:t>
      </w:r>
    </w:p>
    <w:p>
      <w:pPr>
        <w:pStyle w:val="2"/>
      </w:pPr>
      <w:r>
        <w:drawing>
          <wp:inline distT="0" distB="0" distL="114300" distR="114300">
            <wp:extent cx="5067300" cy="7515225"/>
            <wp:effectExtent l="0" t="0" r="0" b="9525"/>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36"/>
                    <a:stretch>
                      <a:fillRect/>
                    </a:stretch>
                  </pic:blipFill>
                  <pic:spPr>
                    <a:xfrm>
                      <a:off x="0" y="0"/>
                      <a:ext cx="5067300" cy="7515225"/>
                    </a:xfrm>
                    <a:prstGeom prst="rect">
                      <a:avLst/>
                    </a:prstGeom>
                    <a:noFill/>
                    <a:ln>
                      <a:noFill/>
                    </a:ln>
                  </pic:spPr>
                </pic:pic>
              </a:graphicData>
            </a:graphic>
          </wp:inline>
        </w:drawing>
      </w:r>
    </w:p>
    <w:p/>
    <w:p>
      <w:pPr>
        <w:pStyle w:val="2"/>
      </w:pPr>
    </w:p>
    <w:p/>
    <w:p>
      <w:pPr>
        <w:pStyle w:val="2"/>
      </w:pPr>
      <w:r>
        <w:drawing>
          <wp:inline distT="0" distB="0" distL="114300" distR="114300">
            <wp:extent cx="5206365" cy="7696835"/>
            <wp:effectExtent l="0" t="0" r="13335" b="1841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37"/>
                    <a:stretch>
                      <a:fillRect/>
                    </a:stretch>
                  </pic:blipFill>
                  <pic:spPr>
                    <a:xfrm>
                      <a:off x="0" y="0"/>
                      <a:ext cx="5206365" cy="7696835"/>
                    </a:xfrm>
                    <a:prstGeom prst="rect">
                      <a:avLst/>
                    </a:prstGeom>
                    <a:noFill/>
                    <a:ln>
                      <a:noFill/>
                    </a:ln>
                  </pic:spPr>
                </pic:pic>
              </a:graphicData>
            </a:graphic>
          </wp:inline>
        </w:drawing>
      </w:r>
    </w:p>
    <w:p/>
    <w:p>
      <w:pPr>
        <w:pStyle w:val="2"/>
      </w:pPr>
    </w:p>
    <w:p/>
    <w:p>
      <w:pPr>
        <w:pStyle w:val="2"/>
      </w:pPr>
      <w:r>
        <w:drawing>
          <wp:inline distT="0" distB="0" distL="114300" distR="114300">
            <wp:extent cx="5481955" cy="8119110"/>
            <wp:effectExtent l="0" t="0" r="4445" b="1524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38"/>
                    <a:stretch>
                      <a:fillRect/>
                    </a:stretch>
                  </pic:blipFill>
                  <pic:spPr>
                    <a:xfrm>
                      <a:off x="0" y="0"/>
                      <a:ext cx="5481955" cy="8119110"/>
                    </a:xfrm>
                    <a:prstGeom prst="rect">
                      <a:avLst/>
                    </a:prstGeom>
                    <a:noFill/>
                    <a:ln>
                      <a:noFill/>
                    </a:ln>
                  </pic:spPr>
                </pic:pic>
              </a:graphicData>
            </a:graphic>
          </wp:inline>
        </w:drawing>
      </w:r>
    </w:p>
    <w:p>
      <w:pPr>
        <w:pStyle w:val="2"/>
        <w:ind w:left="0" w:leftChars="0" w:firstLine="0" w:firstLineChars="0"/>
        <w:rPr>
          <w:rFonts w:hint="default"/>
          <w:lang w:val="en-US" w:eastAsia="zh-CN"/>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9</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11</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3D111D"/>
    <w:multiLevelType w:val="singleLevel"/>
    <w:tmpl w:val="8D3D111D"/>
    <w:lvl w:ilvl="0" w:tentative="0">
      <w:start w:val="2"/>
      <w:numFmt w:val="chineseCounting"/>
      <w:suff w:val="nothing"/>
      <w:lvlText w:val="%1、"/>
      <w:lvlJc w:val="left"/>
      <w:rPr>
        <w:rFonts w:hint="eastAsia"/>
      </w:rPr>
    </w:lvl>
  </w:abstractNum>
  <w:abstractNum w:abstractNumId="1">
    <w:nsid w:val="A9C90AA9"/>
    <w:multiLevelType w:val="singleLevel"/>
    <w:tmpl w:val="A9C90AA9"/>
    <w:lvl w:ilvl="0" w:tentative="0">
      <w:start w:val="1"/>
      <w:numFmt w:val="decimalEnclosedCircleChinese"/>
      <w:suff w:val="nothing"/>
      <w:lvlText w:val="%1　"/>
      <w:lvlJc w:val="left"/>
      <w:pPr>
        <w:ind w:left="0" w:firstLine="400"/>
      </w:pPr>
      <w:rPr>
        <w:rFonts w:hint="eastAsia"/>
      </w:rPr>
    </w:lvl>
  </w:abstractNum>
  <w:abstractNum w:abstractNumId="2">
    <w:nsid w:val="AD99C76D"/>
    <w:multiLevelType w:val="singleLevel"/>
    <w:tmpl w:val="AD99C76D"/>
    <w:lvl w:ilvl="0" w:tentative="0">
      <w:start w:val="1"/>
      <w:numFmt w:val="decimal"/>
      <w:suff w:val="nothing"/>
      <w:lvlText w:val="%1、"/>
      <w:lvlJc w:val="left"/>
    </w:lvl>
  </w:abstractNum>
  <w:abstractNum w:abstractNumId="3">
    <w:nsid w:val="19598636"/>
    <w:multiLevelType w:val="singleLevel"/>
    <w:tmpl w:val="19598636"/>
    <w:lvl w:ilvl="0" w:tentative="0">
      <w:start w:val="2"/>
      <w:numFmt w:val="chineseCounting"/>
      <w:suff w:val="nothing"/>
      <w:lvlText w:val="%1、"/>
      <w:lvlJc w:val="left"/>
      <w:rPr>
        <w:rFonts w:hint="eastAsia"/>
      </w:rPr>
    </w:lvl>
  </w:abstractNum>
  <w:abstractNum w:abstractNumId="4">
    <w:nsid w:val="3500E505"/>
    <w:multiLevelType w:val="singleLevel"/>
    <w:tmpl w:val="3500E505"/>
    <w:lvl w:ilvl="0" w:tentative="0">
      <w:start w:val="3"/>
      <w:numFmt w:val="chineseCounting"/>
      <w:suff w:val="nothing"/>
      <w:lvlText w:val="（%1）"/>
      <w:lvlJc w:val="left"/>
      <w:rPr>
        <w:rFonts w:hint="eastAsia"/>
      </w:rPr>
    </w:lvl>
  </w:abstractNum>
  <w:abstractNum w:abstractNumId="5">
    <w:nsid w:val="507A3E25"/>
    <w:multiLevelType w:val="singleLevel"/>
    <w:tmpl w:val="507A3E25"/>
    <w:lvl w:ilvl="0" w:tentative="0">
      <w:start w:val="1"/>
      <w:numFmt w:val="decimalEnclosedCircleChinese"/>
      <w:suff w:val="nothing"/>
      <w:lvlText w:val="%1　"/>
      <w:lvlJc w:val="left"/>
      <w:pPr>
        <w:ind w:left="0" w:firstLine="400"/>
      </w:pPr>
      <w:rPr>
        <w:rFonts w:hint="eastAsia"/>
      </w:rPr>
    </w:lvl>
  </w:abstractNum>
  <w:abstractNum w:abstractNumId="6">
    <w:nsid w:val="56142CBD"/>
    <w:multiLevelType w:val="singleLevel"/>
    <w:tmpl w:val="56142CBD"/>
    <w:lvl w:ilvl="0" w:tentative="0">
      <w:start w:val="1"/>
      <w:numFmt w:val="decimal"/>
      <w:suff w:val="nothing"/>
      <w:lvlText w:val="%1、"/>
      <w:lvlJc w:val="left"/>
    </w:lvl>
  </w:abstractNum>
  <w:abstractNum w:abstractNumId="7">
    <w:nsid w:val="64FE0B68"/>
    <w:multiLevelType w:val="singleLevel"/>
    <w:tmpl w:val="64FE0B68"/>
    <w:lvl w:ilvl="0" w:tentative="0">
      <w:start w:val="2"/>
      <w:numFmt w:val="decimal"/>
      <w:lvlText w:val="(%1)"/>
      <w:lvlJc w:val="left"/>
      <w:pPr>
        <w:tabs>
          <w:tab w:val="left" w:pos="312"/>
        </w:tabs>
      </w:pPr>
    </w:lvl>
  </w:abstractNum>
  <w:abstractNum w:abstractNumId="8">
    <w:nsid w:val="6F94EE90"/>
    <w:multiLevelType w:val="singleLevel"/>
    <w:tmpl w:val="6F94EE90"/>
    <w:lvl w:ilvl="0" w:tentative="0">
      <w:start w:val="1"/>
      <w:numFmt w:val="decimal"/>
      <w:suff w:val="nothing"/>
      <w:lvlText w:val="（%1）"/>
      <w:lvlJc w:val="left"/>
    </w:lvl>
  </w:abstractNum>
  <w:num w:numId="1">
    <w:abstractNumId w:val="3"/>
  </w:num>
  <w:num w:numId="2">
    <w:abstractNumId w:val="4"/>
  </w:num>
  <w:num w:numId="3">
    <w:abstractNumId w:val="7"/>
  </w:num>
  <w:num w:numId="4">
    <w:abstractNumId w:val="5"/>
  </w:num>
  <w:num w:numId="5">
    <w:abstractNumId w:val="6"/>
  </w:num>
  <w:num w:numId="6">
    <w:abstractNumId w:val="0"/>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val="0"/>
  <w:bordersDoNotSurroundFooter w:val="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YTFkN2IzYzhkZjhmZWM5NTUyZjI5Y2ZlNzQ3OT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191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2B6F94"/>
    <w:rsid w:val="0146645B"/>
    <w:rsid w:val="015D1E09"/>
    <w:rsid w:val="017E4A0C"/>
    <w:rsid w:val="01A532F7"/>
    <w:rsid w:val="01B042A3"/>
    <w:rsid w:val="02246AE8"/>
    <w:rsid w:val="023717FF"/>
    <w:rsid w:val="02697903"/>
    <w:rsid w:val="02F14155"/>
    <w:rsid w:val="02F96569"/>
    <w:rsid w:val="03A02BEA"/>
    <w:rsid w:val="03A117D9"/>
    <w:rsid w:val="03EA7B21"/>
    <w:rsid w:val="0410030A"/>
    <w:rsid w:val="04182868"/>
    <w:rsid w:val="04B86600"/>
    <w:rsid w:val="04C9484D"/>
    <w:rsid w:val="04D055E9"/>
    <w:rsid w:val="05072933"/>
    <w:rsid w:val="050977E4"/>
    <w:rsid w:val="05137986"/>
    <w:rsid w:val="052520E2"/>
    <w:rsid w:val="0598518B"/>
    <w:rsid w:val="05E83C44"/>
    <w:rsid w:val="05F83EAE"/>
    <w:rsid w:val="063E7D85"/>
    <w:rsid w:val="06AA187C"/>
    <w:rsid w:val="07293586"/>
    <w:rsid w:val="07295285"/>
    <w:rsid w:val="07345CA4"/>
    <w:rsid w:val="07636392"/>
    <w:rsid w:val="07770C56"/>
    <w:rsid w:val="07B43F8F"/>
    <w:rsid w:val="07CB38A9"/>
    <w:rsid w:val="07F51E7F"/>
    <w:rsid w:val="084710F9"/>
    <w:rsid w:val="087E0FAA"/>
    <w:rsid w:val="08A460EF"/>
    <w:rsid w:val="08D72B5F"/>
    <w:rsid w:val="08E35A5B"/>
    <w:rsid w:val="091343F8"/>
    <w:rsid w:val="092217DD"/>
    <w:rsid w:val="093A7294"/>
    <w:rsid w:val="09D16488"/>
    <w:rsid w:val="0A263993"/>
    <w:rsid w:val="0A2D3AC2"/>
    <w:rsid w:val="0A363F58"/>
    <w:rsid w:val="0AA755DF"/>
    <w:rsid w:val="0B120D44"/>
    <w:rsid w:val="0B663129"/>
    <w:rsid w:val="0B9B1B31"/>
    <w:rsid w:val="0BD27BF6"/>
    <w:rsid w:val="0BE66E72"/>
    <w:rsid w:val="0C1B16F4"/>
    <w:rsid w:val="0C312A1C"/>
    <w:rsid w:val="0C3B3C7D"/>
    <w:rsid w:val="0C582030"/>
    <w:rsid w:val="0C9C5190"/>
    <w:rsid w:val="0CAB2EAE"/>
    <w:rsid w:val="0CE63287"/>
    <w:rsid w:val="0D4C456F"/>
    <w:rsid w:val="0D621C7D"/>
    <w:rsid w:val="0D8F1740"/>
    <w:rsid w:val="0E610225"/>
    <w:rsid w:val="0E73034D"/>
    <w:rsid w:val="0EC15F37"/>
    <w:rsid w:val="0ED15914"/>
    <w:rsid w:val="0EF70A58"/>
    <w:rsid w:val="0F02603F"/>
    <w:rsid w:val="0F13775A"/>
    <w:rsid w:val="0F2F1860"/>
    <w:rsid w:val="0F5F45FE"/>
    <w:rsid w:val="0F9307CE"/>
    <w:rsid w:val="0F9418DB"/>
    <w:rsid w:val="0F9A112B"/>
    <w:rsid w:val="0FAA361B"/>
    <w:rsid w:val="0FF178D3"/>
    <w:rsid w:val="106D2F64"/>
    <w:rsid w:val="108F0A13"/>
    <w:rsid w:val="10B63710"/>
    <w:rsid w:val="10D820F6"/>
    <w:rsid w:val="10F10820"/>
    <w:rsid w:val="111C2F7A"/>
    <w:rsid w:val="113002FC"/>
    <w:rsid w:val="11614BBF"/>
    <w:rsid w:val="11665CA1"/>
    <w:rsid w:val="122B405F"/>
    <w:rsid w:val="12765623"/>
    <w:rsid w:val="1391114E"/>
    <w:rsid w:val="13951726"/>
    <w:rsid w:val="13E87A1A"/>
    <w:rsid w:val="14396509"/>
    <w:rsid w:val="14830684"/>
    <w:rsid w:val="14DD2C3C"/>
    <w:rsid w:val="151934E4"/>
    <w:rsid w:val="15561EB6"/>
    <w:rsid w:val="1561313B"/>
    <w:rsid w:val="15F00ACC"/>
    <w:rsid w:val="16087E1D"/>
    <w:rsid w:val="165806FA"/>
    <w:rsid w:val="16F20517"/>
    <w:rsid w:val="17701D14"/>
    <w:rsid w:val="17735226"/>
    <w:rsid w:val="177E12C0"/>
    <w:rsid w:val="17FD1052"/>
    <w:rsid w:val="184C1EB9"/>
    <w:rsid w:val="189F624C"/>
    <w:rsid w:val="19395422"/>
    <w:rsid w:val="193C27C9"/>
    <w:rsid w:val="194223F1"/>
    <w:rsid w:val="19980F70"/>
    <w:rsid w:val="1A1C66C0"/>
    <w:rsid w:val="1A42393B"/>
    <w:rsid w:val="1A562000"/>
    <w:rsid w:val="1AAD45DE"/>
    <w:rsid w:val="1AB66CBD"/>
    <w:rsid w:val="1AC55E39"/>
    <w:rsid w:val="1B046F80"/>
    <w:rsid w:val="1B29088D"/>
    <w:rsid w:val="1B3267B5"/>
    <w:rsid w:val="1B364772"/>
    <w:rsid w:val="1B40161D"/>
    <w:rsid w:val="1B441859"/>
    <w:rsid w:val="1B4437DD"/>
    <w:rsid w:val="1B513AE6"/>
    <w:rsid w:val="1B6606B1"/>
    <w:rsid w:val="1BE379A6"/>
    <w:rsid w:val="1C5E7925"/>
    <w:rsid w:val="1CDE0825"/>
    <w:rsid w:val="1CFD070F"/>
    <w:rsid w:val="1D5F6196"/>
    <w:rsid w:val="1D6132A5"/>
    <w:rsid w:val="1D77458E"/>
    <w:rsid w:val="1D8E56D5"/>
    <w:rsid w:val="1DD72984"/>
    <w:rsid w:val="1DFB4367"/>
    <w:rsid w:val="1E7A43DA"/>
    <w:rsid w:val="1E943CF7"/>
    <w:rsid w:val="1EB527E2"/>
    <w:rsid w:val="1EF87849"/>
    <w:rsid w:val="1FE27D80"/>
    <w:rsid w:val="1FE7539E"/>
    <w:rsid w:val="20014FB8"/>
    <w:rsid w:val="20671BE0"/>
    <w:rsid w:val="20963CB8"/>
    <w:rsid w:val="20A81A1B"/>
    <w:rsid w:val="20B07FB6"/>
    <w:rsid w:val="20B646FB"/>
    <w:rsid w:val="20BD3C38"/>
    <w:rsid w:val="20E67171"/>
    <w:rsid w:val="211E5D4A"/>
    <w:rsid w:val="213B74B1"/>
    <w:rsid w:val="215A2310"/>
    <w:rsid w:val="218C20E8"/>
    <w:rsid w:val="219638C4"/>
    <w:rsid w:val="219E40EB"/>
    <w:rsid w:val="21DE318A"/>
    <w:rsid w:val="21EC3B77"/>
    <w:rsid w:val="21EF5B80"/>
    <w:rsid w:val="22576990"/>
    <w:rsid w:val="228153E0"/>
    <w:rsid w:val="22A07C01"/>
    <w:rsid w:val="22C9332A"/>
    <w:rsid w:val="22F47480"/>
    <w:rsid w:val="23065052"/>
    <w:rsid w:val="236A4649"/>
    <w:rsid w:val="2390095A"/>
    <w:rsid w:val="23985C7C"/>
    <w:rsid w:val="23DE1C48"/>
    <w:rsid w:val="23FC2AD5"/>
    <w:rsid w:val="240210CD"/>
    <w:rsid w:val="24A54A2E"/>
    <w:rsid w:val="24BF09F7"/>
    <w:rsid w:val="250C3641"/>
    <w:rsid w:val="252D53FE"/>
    <w:rsid w:val="25A22F91"/>
    <w:rsid w:val="25EC2D81"/>
    <w:rsid w:val="267D11AC"/>
    <w:rsid w:val="26BE7D17"/>
    <w:rsid w:val="270768D0"/>
    <w:rsid w:val="277057A2"/>
    <w:rsid w:val="277C3261"/>
    <w:rsid w:val="27B010F5"/>
    <w:rsid w:val="27C712E4"/>
    <w:rsid w:val="285519DD"/>
    <w:rsid w:val="288B6AE4"/>
    <w:rsid w:val="28932E62"/>
    <w:rsid w:val="28972E65"/>
    <w:rsid w:val="28EF40E2"/>
    <w:rsid w:val="29206EB8"/>
    <w:rsid w:val="29595666"/>
    <w:rsid w:val="29874881"/>
    <w:rsid w:val="29977C8B"/>
    <w:rsid w:val="29B26A9F"/>
    <w:rsid w:val="29E325E0"/>
    <w:rsid w:val="2A452503"/>
    <w:rsid w:val="2A487535"/>
    <w:rsid w:val="2A5A1DF8"/>
    <w:rsid w:val="2AE61278"/>
    <w:rsid w:val="2B7E5B03"/>
    <w:rsid w:val="2BA936A8"/>
    <w:rsid w:val="2C177DF8"/>
    <w:rsid w:val="2C315A5A"/>
    <w:rsid w:val="2C427D4B"/>
    <w:rsid w:val="2C4B1C25"/>
    <w:rsid w:val="2C7011F3"/>
    <w:rsid w:val="2C7A7049"/>
    <w:rsid w:val="2CF70B6E"/>
    <w:rsid w:val="2D3463B7"/>
    <w:rsid w:val="2D7A7FC4"/>
    <w:rsid w:val="2D7D0E68"/>
    <w:rsid w:val="2D9E56F5"/>
    <w:rsid w:val="2DB73B72"/>
    <w:rsid w:val="2DCD0BD5"/>
    <w:rsid w:val="2DDE2BCF"/>
    <w:rsid w:val="2E370A8E"/>
    <w:rsid w:val="2E667F96"/>
    <w:rsid w:val="2E7143BD"/>
    <w:rsid w:val="2E8226AB"/>
    <w:rsid w:val="2E89343E"/>
    <w:rsid w:val="2E8E1DE4"/>
    <w:rsid w:val="2E9E238B"/>
    <w:rsid w:val="2F1021E4"/>
    <w:rsid w:val="2F5D46F2"/>
    <w:rsid w:val="2F787A8A"/>
    <w:rsid w:val="2FD065E6"/>
    <w:rsid w:val="2FD96870"/>
    <w:rsid w:val="30400AD4"/>
    <w:rsid w:val="30580BC9"/>
    <w:rsid w:val="30823936"/>
    <w:rsid w:val="30C4537B"/>
    <w:rsid w:val="30F14F64"/>
    <w:rsid w:val="311E2ED7"/>
    <w:rsid w:val="31276598"/>
    <w:rsid w:val="315619EE"/>
    <w:rsid w:val="315C449C"/>
    <w:rsid w:val="319D6820"/>
    <w:rsid w:val="31AD0288"/>
    <w:rsid w:val="31B82709"/>
    <w:rsid w:val="31D05482"/>
    <w:rsid w:val="321A0556"/>
    <w:rsid w:val="32207ED7"/>
    <w:rsid w:val="32400B34"/>
    <w:rsid w:val="326E4F60"/>
    <w:rsid w:val="329E6876"/>
    <w:rsid w:val="32C424C8"/>
    <w:rsid w:val="333015F2"/>
    <w:rsid w:val="334B6320"/>
    <w:rsid w:val="33643996"/>
    <w:rsid w:val="336C2702"/>
    <w:rsid w:val="33D934D4"/>
    <w:rsid w:val="33FD0CBF"/>
    <w:rsid w:val="33FE2F6A"/>
    <w:rsid w:val="340E07E5"/>
    <w:rsid w:val="34235BF7"/>
    <w:rsid w:val="34504A8E"/>
    <w:rsid w:val="350F0672"/>
    <w:rsid w:val="35284C04"/>
    <w:rsid w:val="357755CE"/>
    <w:rsid w:val="35873781"/>
    <w:rsid w:val="358C5FA8"/>
    <w:rsid w:val="35B71D91"/>
    <w:rsid w:val="35C15DF1"/>
    <w:rsid w:val="36074A7F"/>
    <w:rsid w:val="361424B3"/>
    <w:rsid w:val="368E2FD6"/>
    <w:rsid w:val="36923549"/>
    <w:rsid w:val="36B75FBF"/>
    <w:rsid w:val="36BD0C45"/>
    <w:rsid w:val="36C80DD6"/>
    <w:rsid w:val="36D35E07"/>
    <w:rsid w:val="36E10906"/>
    <w:rsid w:val="36FD79CA"/>
    <w:rsid w:val="37082F44"/>
    <w:rsid w:val="37474556"/>
    <w:rsid w:val="3750011E"/>
    <w:rsid w:val="378258AE"/>
    <w:rsid w:val="37E00298"/>
    <w:rsid w:val="388C1A65"/>
    <w:rsid w:val="38B302F9"/>
    <w:rsid w:val="38C913CA"/>
    <w:rsid w:val="38F12CD3"/>
    <w:rsid w:val="38F94775"/>
    <w:rsid w:val="39026997"/>
    <w:rsid w:val="392971ED"/>
    <w:rsid w:val="39325651"/>
    <w:rsid w:val="39AB1D1D"/>
    <w:rsid w:val="39E249FB"/>
    <w:rsid w:val="3A005C4C"/>
    <w:rsid w:val="3A1520EE"/>
    <w:rsid w:val="3A176C88"/>
    <w:rsid w:val="3A5867A7"/>
    <w:rsid w:val="3A672F05"/>
    <w:rsid w:val="3A872856"/>
    <w:rsid w:val="3AB2408F"/>
    <w:rsid w:val="3AC214A4"/>
    <w:rsid w:val="3B191B3E"/>
    <w:rsid w:val="3B315B70"/>
    <w:rsid w:val="3B3763D1"/>
    <w:rsid w:val="3B9C46E7"/>
    <w:rsid w:val="3BAF299D"/>
    <w:rsid w:val="3BFC7B01"/>
    <w:rsid w:val="3C0E25F6"/>
    <w:rsid w:val="3C223C6E"/>
    <w:rsid w:val="3C2F6E1E"/>
    <w:rsid w:val="3C4F64BA"/>
    <w:rsid w:val="3CDA245A"/>
    <w:rsid w:val="3D1E06B7"/>
    <w:rsid w:val="3D433C2A"/>
    <w:rsid w:val="3D4962C5"/>
    <w:rsid w:val="3D922E7F"/>
    <w:rsid w:val="3D9927B7"/>
    <w:rsid w:val="3DE1520F"/>
    <w:rsid w:val="3E0F6458"/>
    <w:rsid w:val="3E3D09DE"/>
    <w:rsid w:val="3EB85110"/>
    <w:rsid w:val="3EDA0523"/>
    <w:rsid w:val="3EE60C27"/>
    <w:rsid w:val="3F1D583F"/>
    <w:rsid w:val="3F44401F"/>
    <w:rsid w:val="40271F5C"/>
    <w:rsid w:val="403812F8"/>
    <w:rsid w:val="407A6407"/>
    <w:rsid w:val="408B26F0"/>
    <w:rsid w:val="40A32623"/>
    <w:rsid w:val="40C15040"/>
    <w:rsid w:val="41090BA7"/>
    <w:rsid w:val="41455FEC"/>
    <w:rsid w:val="41B24CC0"/>
    <w:rsid w:val="41BB6E00"/>
    <w:rsid w:val="4200449D"/>
    <w:rsid w:val="42223BDE"/>
    <w:rsid w:val="423A3BCC"/>
    <w:rsid w:val="424E3832"/>
    <w:rsid w:val="424E57D2"/>
    <w:rsid w:val="42B26C49"/>
    <w:rsid w:val="42DE0FCB"/>
    <w:rsid w:val="42E21A2A"/>
    <w:rsid w:val="43150765"/>
    <w:rsid w:val="433575A9"/>
    <w:rsid w:val="433A6FE6"/>
    <w:rsid w:val="43480868"/>
    <w:rsid w:val="4350713C"/>
    <w:rsid w:val="435477F0"/>
    <w:rsid w:val="436653E0"/>
    <w:rsid w:val="43A50C5F"/>
    <w:rsid w:val="43B509CE"/>
    <w:rsid w:val="43C4431A"/>
    <w:rsid w:val="445300EE"/>
    <w:rsid w:val="44B951CC"/>
    <w:rsid w:val="44CD14E0"/>
    <w:rsid w:val="44CD1B6C"/>
    <w:rsid w:val="44F20B0B"/>
    <w:rsid w:val="45287DE7"/>
    <w:rsid w:val="452E5F4C"/>
    <w:rsid w:val="45555D50"/>
    <w:rsid w:val="45612018"/>
    <w:rsid w:val="458946E9"/>
    <w:rsid w:val="459D656E"/>
    <w:rsid w:val="45A47C0E"/>
    <w:rsid w:val="45D36A93"/>
    <w:rsid w:val="45F618BC"/>
    <w:rsid w:val="46256F3D"/>
    <w:rsid w:val="462A3AFC"/>
    <w:rsid w:val="46577FD6"/>
    <w:rsid w:val="46592743"/>
    <w:rsid w:val="466E6AA9"/>
    <w:rsid w:val="46BF588E"/>
    <w:rsid w:val="46D3020A"/>
    <w:rsid w:val="46D955A7"/>
    <w:rsid w:val="46EC35B7"/>
    <w:rsid w:val="46F36725"/>
    <w:rsid w:val="46F92ED0"/>
    <w:rsid w:val="47133957"/>
    <w:rsid w:val="47394A4E"/>
    <w:rsid w:val="478116B9"/>
    <w:rsid w:val="47A07E0C"/>
    <w:rsid w:val="484A4F91"/>
    <w:rsid w:val="484B6BDE"/>
    <w:rsid w:val="4870272E"/>
    <w:rsid w:val="48AF7300"/>
    <w:rsid w:val="48B837B7"/>
    <w:rsid w:val="491270EC"/>
    <w:rsid w:val="49155047"/>
    <w:rsid w:val="496D0C49"/>
    <w:rsid w:val="49A540DC"/>
    <w:rsid w:val="49DC7715"/>
    <w:rsid w:val="49DE2641"/>
    <w:rsid w:val="4A020216"/>
    <w:rsid w:val="4A023139"/>
    <w:rsid w:val="4A3F507F"/>
    <w:rsid w:val="4A7B576F"/>
    <w:rsid w:val="4AF561A9"/>
    <w:rsid w:val="4B5A1437"/>
    <w:rsid w:val="4BB85C47"/>
    <w:rsid w:val="4BCA036B"/>
    <w:rsid w:val="4C081A89"/>
    <w:rsid w:val="4C324162"/>
    <w:rsid w:val="4C4A0649"/>
    <w:rsid w:val="4C7E5ECA"/>
    <w:rsid w:val="4C876AA5"/>
    <w:rsid w:val="4CCC3C6F"/>
    <w:rsid w:val="4CD82BE6"/>
    <w:rsid w:val="4D0E00FB"/>
    <w:rsid w:val="4D176606"/>
    <w:rsid w:val="4D4D6EB1"/>
    <w:rsid w:val="4D6402A8"/>
    <w:rsid w:val="4D990842"/>
    <w:rsid w:val="4DA12D15"/>
    <w:rsid w:val="4DCE1F8B"/>
    <w:rsid w:val="4DEC4FB0"/>
    <w:rsid w:val="4E075D8A"/>
    <w:rsid w:val="4E3C045A"/>
    <w:rsid w:val="4E5D3FEE"/>
    <w:rsid w:val="4E9C1644"/>
    <w:rsid w:val="4EC00FAD"/>
    <w:rsid w:val="4F64390E"/>
    <w:rsid w:val="4F8A4A1A"/>
    <w:rsid w:val="4F9843DC"/>
    <w:rsid w:val="4FA77EF8"/>
    <w:rsid w:val="4FB84A01"/>
    <w:rsid w:val="4FC62A8C"/>
    <w:rsid w:val="4FE20F0D"/>
    <w:rsid w:val="4FE51552"/>
    <w:rsid w:val="503B247E"/>
    <w:rsid w:val="50504C4B"/>
    <w:rsid w:val="509C6E7C"/>
    <w:rsid w:val="50FC25E5"/>
    <w:rsid w:val="50FD4A42"/>
    <w:rsid w:val="51436D59"/>
    <w:rsid w:val="5162104E"/>
    <w:rsid w:val="51F76E9E"/>
    <w:rsid w:val="524E0753"/>
    <w:rsid w:val="52CC231E"/>
    <w:rsid w:val="532537C5"/>
    <w:rsid w:val="5381504C"/>
    <w:rsid w:val="5395247E"/>
    <w:rsid w:val="53A039CC"/>
    <w:rsid w:val="53A1505A"/>
    <w:rsid w:val="54063E08"/>
    <w:rsid w:val="543437E8"/>
    <w:rsid w:val="5435660D"/>
    <w:rsid w:val="545B15BB"/>
    <w:rsid w:val="54D264E2"/>
    <w:rsid w:val="54F73313"/>
    <w:rsid w:val="54F80955"/>
    <w:rsid w:val="54FC2BD1"/>
    <w:rsid w:val="555170A7"/>
    <w:rsid w:val="5587536D"/>
    <w:rsid w:val="559B174B"/>
    <w:rsid w:val="55CE0CF4"/>
    <w:rsid w:val="55FD0397"/>
    <w:rsid w:val="56B22A9C"/>
    <w:rsid w:val="56F93C30"/>
    <w:rsid w:val="57222FD0"/>
    <w:rsid w:val="57594971"/>
    <w:rsid w:val="57913BF6"/>
    <w:rsid w:val="57B72A76"/>
    <w:rsid w:val="57C3426C"/>
    <w:rsid w:val="57CE1F93"/>
    <w:rsid w:val="57E42C19"/>
    <w:rsid w:val="588743D1"/>
    <w:rsid w:val="5887701A"/>
    <w:rsid w:val="58B052D3"/>
    <w:rsid w:val="58B07C0D"/>
    <w:rsid w:val="58B74499"/>
    <w:rsid w:val="5916667A"/>
    <w:rsid w:val="59380CB8"/>
    <w:rsid w:val="59387DD2"/>
    <w:rsid w:val="59C0439F"/>
    <w:rsid w:val="59C9625C"/>
    <w:rsid w:val="5A1209FB"/>
    <w:rsid w:val="5A1A3741"/>
    <w:rsid w:val="5A785436"/>
    <w:rsid w:val="5ABE2233"/>
    <w:rsid w:val="5AD7403A"/>
    <w:rsid w:val="5AEF5344"/>
    <w:rsid w:val="5B8D18BA"/>
    <w:rsid w:val="5B962497"/>
    <w:rsid w:val="5BDF5D95"/>
    <w:rsid w:val="5BFE7528"/>
    <w:rsid w:val="5C875EFC"/>
    <w:rsid w:val="5CA842D7"/>
    <w:rsid w:val="5D3B4FAE"/>
    <w:rsid w:val="5D882892"/>
    <w:rsid w:val="5DCF2BF9"/>
    <w:rsid w:val="5E2467F1"/>
    <w:rsid w:val="5E4A668D"/>
    <w:rsid w:val="5EEB4428"/>
    <w:rsid w:val="5F1078F1"/>
    <w:rsid w:val="5F1A2B43"/>
    <w:rsid w:val="5FB837BB"/>
    <w:rsid w:val="602064A0"/>
    <w:rsid w:val="60CC405A"/>
    <w:rsid w:val="60D93F50"/>
    <w:rsid w:val="60DA0BF8"/>
    <w:rsid w:val="6101362E"/>
    <w:rsid w:val="613A3445"/>
    <w:rsid w:val="61807AA7"/>
    <w:rsid w:val="61811457"/>
    <w:rsid w:val="619363FA"/>
    <w:rsid w:val="619F22FA"/>
    <w:rsid w:val="61AC47DA"/>
    <w:rsid w:val="61E215D8"/>
    <w:rsid w:val="621B3775"/>
    <w:rsid w:val="62336A8C"/>
    <w:rsid w:val="62364782"/>
    <w:rsid w:val="63154AB8"/>
    <w:rsid w:val="6394356A"/>
    <w:rsid w:val="63B20421"/>
    <w:rsid w:val="63C61B2C"/>
    <w:rsid w:val="63D40BE9"/>
    <w:rsid w:val="63DB3F14"/>
    <w:rsid w:val="64102431"/>
    <w:rsid w:val="641E43EB"/>
    <w:rsid w:val="64236EBD"/>
    <w:rsid w:val="64870830"/>
    <w:rsid w:val="64A5243A"/>
    <w:rsid w:val="64F531DE"/>
    <w:rsid w:val="65295CAB"/>
    <w:rsid w:val="65373578"/>
    <w:rsid w:val="65717652"/>
    <w:rsid w:val="66145E7A"/>
    <w:rsid w:val="66266D6A"/>
    <w:rsid w:val="663E5F01"/>
    <w:rsid w:val="667A7A85"/>
    <w:rsid w:val="669D0E22"/>
    <w:rsid w:val="66B6259F"/>
    <w:rsid w:val="66C253D9"/>
    <w:rsid w:val="66F57CB7"/>
    <w:rsid w:val="671F124A"/>
    <w:rsid w:val="677A33C6"/>
    <w:rsid w:val="67D958E5"/>
    <w:rsid w:val="680D2DE8"/>
    <w:rsid w:val="681F6961"/>
    <w:rsid w:val="68557854"/>
    <w:rsid w:val="68610A2F"/>
    <w:rsid w:val="68805514"/>
    <w:rsid w:val="68D55884"/>
    <w:rsid w:val="69030729"/>
    <w:rsid w:val="69224EEB"/>
    <w:rsid w:val="69316E2F"/>
    <w:rsid w:val="693E2C78"/>
    <w:rsid w:val="694E2071"/>
    <w:rsid w:val="695D6EB4"/>
    <w:rsid w:val="696E48CF"/>
    <w:rsid w:val="69766163"/>
    <w:rsid w:val="697A3B33"/>
    <w:rsid w:val="69867B34"/>
    <w:rsid w:val="69D44760"/>
    <w:rsid w:val="69F869AD"/>
    <w:rsid w:val="6A3F7A36"/>
    <w:rsid w:val="6A520EC7"/>
    <w:rsid w:val="6A9A5C09"/>
    <w:rsid w:val="6A9D2815"/>
    <w:rsid w:val="6AB23729"/>
    <w:rsid w:val="6AF87E20"/>
    <w:rsid w:val="6B322639"/>
    <w:rsid w:val="6B65042C"/>
    <w:rsid w:val="6B6B3412"/>
    <w:rsid w:val="6B712195"/>
    <w:rsid w:val="6BE76460"/>
    <w:rsid w:val="6C215D13"/>
    <w:rsid w:val="6C636C38"/>
    <w:rsid w:val="6C84697D"/>
    <w:rsid w:val="6C8D4D71"/>
    <w:rsid w:val="6C901BF1"/>
    <w:rsid w:val="6CB43F39"/>
    <w:rsid w:val="6D2942C2"/>
    <w:rsid w:val="6DB00E73"/>
    <w:rsid w:val="6DB34098"/>
    <w:rsid w:val="6DB545B6"/>
    <w:rsid w:val="6DB77697"/>
    <w:rsid w:val="6DC062FA"/>
    <w:rsid w:val="6DE02FB4"/>
    <w:rsid w:val="6E514CED"/>
    <w:rsid w:val="6E516C84"/>
    <w:rsid w:val="6E5E6751"/>
    <w:rsid w:val="6E663B0E"/>
    <w:rsid w:val="6EB563D5"/>
    <w:rsid w:val="6ED92677"/>
    <w:rsid w:val="6F225983"/>
    <w:rsid w:val="6FD35FB8"/>
    <w:rsid w:val="6FFC5590"/>
    <w:rsid w:val="70111884"/>
    <w:rsid w:val="706D1DD0"/>
    <w:rsid w:val="70795D75"/>
    <w:rsid w:val="70841C37"/>
    <w:rsid w:val="70856B87"/>
    <w:rsid w:val="70D527EE"/>
    <w:rsid w:val="715B5300"/>
    <w:rsid w:val="7173612D"/>
    <w:rsid w:val="71D053AE"/>
    <w:rsid w:val="71D27F8A"/>
    <w:rsid w:val="71ED6F24"/>
    <w:rsid w:val="71F461B9"/>
    <w:rsid w:val="721D6B97"/>
    <w:rsid w:val="72553024"/>
    <w:rsid w:val="727154E1"/>
    <w:rsid w:val="72916883"/>
    <w:rsid w:val="72C32C05"/>
    <w:rsid w:val="73122968"/>
    <w:rsid w:val="731F5D5E"/>
    <w:rsid w:val="736E0624"/>
    <w:rsid w:val="73C51AD5"/>
    <w:rsid w:val="73CA3C56"/>
    <w:rsid w:val="741E793C"/>
    <w:rsid w:val="745E3944"/>
    <w:rsid w:val="74990C5E"/>
    <w:rsid w:val="74A074BC"/>
    <w:rsid w:val="75742867"/>
    <w:rsid w:val="762E1891"/>
    <w:rsid w:val="7635099D"/>
    <w:rsid w:val="76352552"/>
    <w:rsid w:val="763554C6"/>
    <w:rsid w:val="763D3505"/>
    <w:rsid w:val="76581E16"/>
    <w:rsid w:val="766C5CBC"/>
    <w:rsid w:val="774D3A7A"/>
    <w:rsid w:val="776F074C"/>
    <w:rsid w:val="77762421"/>
    <w:rsid w:val="77942176"/>
    <w:rsid w:val="77996540"/>
    <w:rsid w:val="77AB24C6"/>
    <w:rsid w:val="77B56B1F"/>
    <w:rsid w:val="780F09F4"/>
    <w:rsid w:val="784745DE"/>
    <w:rsid w:val="78774178"/>
    <w:rsid w:val="78A90480"/>
    <w:rsid w:val="795D4FF0"/>
    <w:rsid w:val="79991D43"/>
    <w:rsid w:val="7A2465E7"/>
    <w:rsid w:val="7A364017"/>
    <w:rsid w:val="7A7F3071"/>
    <w:rsid w:val="7A8265E1"/>
    <w:rsid w:val="7AD96499"/>
    <w:rsid w:val="7B686D42"/>
    <w:rsid w:val="7B841746"/>
    <w:rsid w:val="7BD7481E"/>
    <w:rsid w:val="7BE77DBF"/>
    <w:rsid w:val="7C6C5AC7"/>
    <w:rsid w:val="7C9061B7"/>
    <w:rsid w:val="7CC6544B"/>
    <w:rsid w:val="7CDA4CB3"/>
    <w:rsid w:val="7D0239FF"/>
    <w:rsid w:val="7D0D41C0"/>
    <w:rsid w:val="7D510FE5"/>
    <w:rsid w:val="7D5E40CD"/>
    <w:rsid w:val="7D763590"/>
    <w:rsid w:val="7D8B015C"/>
    <w:rsid w:val="7D94562C"/>
    <w:rsid w:val="7DB915A2"/>
    <w:rsid w:val="7DCD56F2"/>
    <w:rsid w:val="7E60116D"/>
    <w:rsid w:val="7E982678"/>
    <w:rsid w:val="7F001CE7"/>
    <w:rsid w:val="7F197E6E"/>
    <w:rsid w:val="7F677795"/>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First Indent"/>
    <w:basedOn w:val="3"/>
    <w:next w:val="1"/>
    <w:qFormat/>
    <w:locked/>
    <w:uiPriority w:val="99"/>
    <w:pPr>
      <w:spacing w:after="120"/>
      <w:ind w:firstLine="420" w:firstLineChars="100"/>
    </w:pPr>
  </w:style>
  <w:style w:type="paragraph" w:styleId="3">
    <w:name w:val="Body Text"/>
    <w:basedOn w:val="1"/>
    <w:next w:val="4"/>
    <w:link w:val="26"/>
    <w:qFormat/>
    <w:uiPriority w:val="0"/>
    <w:pPr>
      <w:widowControl/>
      <w:snapToGrid w:val="0"/>
      <w:spacing w:before="60" w:after="160" w:line="259" w:lineRule="auto"/>
      <w:ind w:right="113"/>
    </w:pPr>
    <w:rPr>
      <w:kern w:val="0"/>
      <w:sz w:val="18"/>
      <w:szCs w:val="20"/>
    </w:rPr>
  </w:style>
  <w:style w:type="paragraph" w:customStyle="1" w:styleId="4">
    <w:name w:val="baby-正文"/>
    <w:basedOn w:val="3"/>
    <w:next w:val="5"/>
    <w:qFormat/>
    <w:uiPriority w:val="0"/>
    <w:rPr>
      <w:rFonts w:ascii="仿宋_GB2312" w:hAnsi="宋体"/>
      <w:bCs/>
      <w:sz w:val="30"/>
    </w:rPr>
  </w:style>
  <w:style w:type="paragraph" w:styleId="5">
    <w:name w:val="Balloon Text"/>
    <w:basedOn w:val="1"/>
    <w:link w:val="29"/>
    <w:semiHidden/>
    <w:qFormat/>
    <w:uiPriority w:val="0"/>
    <w:rPr>
      <w:kern w:val="0"/>
      <w:sz w:val="18"/>
      <w:szCs w:val="20"/>
    </w:rPr>
  </w:style>
  <w:style w:type="paragraph" w:styleId="8">
    <w:name w:val="annotation subject"/>
    <w:basedOn w:val="9"/>
    <w:next w:val="9"/>
    <w:link w:val="33"/>
    <w:semiHidden/>
    <w:qFormat/>
    <w:uiPriority w:val="0"/>
    <w:rPr>
      <w:b/>
      <w:sz w:val="24"/>
      <w:szCs w:val="20"/>
    </w:rPr>
  </w:style>
  <w:style w:type="paragraph" w:styleId="9">
    <w:name w:val="annotation text"/>
    <w:basedOn w:val="1"/>
    <w:link w:val="25"/>
    <w:semiHidden/>
    <w:qFormat/>
    <w:uiPriority w:val="0"/>
    <w:pPr>
      <w:jc w:val="left"/>
    </w:pPr>
    <w:rPr>
      <w:kern w:val="0"/>
      <w:sz w:val="24"/>
      <w:szCs w:val="20"/>
    </w:rPr>
  </w:style>
  <w:style w:type="paragraph" w:styleId="10">
    <w:name w:val="Body Text Indent"/>
    <w:basedOn w:val="1"/>
    <w:next w:val="11"/>
    <w:link w:val="27"/>
    <w:qFormat/>
    <w:uiPriority w:val="0"/>
    <w:pPr>
      <w:spacing w:after="120"/>
      <w:ind w:left="420" w:leftChars="200"/>
    </w:pPr>
    <w:rPr>
      <w:kern w:val="0"/>
      <w:sz w:val="24"/>
      <w:szCs w:val="20"/>
    </w:rPr>
  </w:style>
  <w:style w:type="paragraph" w:customStyle="1" w:styleId="11">
    <w:name w:val="TOC 31"/>
    <w:next w:val="1"/>
    <w:qFormat/>
    <w:uiPriority w:val="0"/>
    <w:pPr>
      <w:wordWrap w:val="0"/>
      <w:ind w:left="850"/>
      <w:jc w:val="both"/>
    </w:pPr>
    <w:rPr>
      <w:rFonts w:ascii="Times New Roman" w:hAnsi="Times New Roman" w:eastAsia="宋体" w:cs="Times New Roman"/>
      <w:sz w:val="21"/>
      <w:szCs w:val="22"/>
      <w:lang w:val="en-US" w:eastAsia="zh-CN" w:bidi="ar-SA"/>
    </w:rPr>
  </w:style>
  <w:style w:type="paragraph" w:styleId="12">
    <w:name w:val="Date"/>
    <w:basedOn w:val="1"/>
    <w:next w:val="1"/>
    <w:link w:val="28"/>
    <w:qFormat/>
    <w:uiPriority w:val="0"/>
    <w:pPr>
      <w:ind w:left="100" w:leftChars="2500"/>
    </w:pPr>
    <w:rPr>
      <w:kern w:val="0"/>
      <w:sz w:val="24"/>
      <w:szCs w:val="20"/>
    </w:rPr>
  </w:style>
  <w:style w:type="paragraph" w:styleId="13">
    <w:name w:val="footer"/>
    <w:basedOn w:val="1"/>
    <w:link w:val="30"/>
    <w:qFormat/>
    <w:uiPriority w:val="99"/>
    <w:pPr>
      <w:tabs>
        <w:tab w:val="center" w:pos="4153"/>
        <w:tab w:val="right" w:pos="8306"/>
      </w:tabs>
      <w:snapToGrid w:val="0"/>
      <w:jc w:val="left"/>
    </w:pPr>
    <w:rPr>
      <w:kern w:val="0"/>
      <w:sz w:val="18"/>
      <w:szCs w:val="20"/>
    </w:rPr>
  </w:style>
  <w:style w:type="paragraph" w:styleId="14">
    <w:name w:val="Body Text First Indent 2"/>
    <w:basedOn w:val="10"/>
    <w:next w:val="1"/>
    <w:qFormat/>
    <w:locked/>
    <w:uiPriority w:val="0"/>
    <w:pPr>
      <w:ind w:firstLine="420" w:firstLineChars="200"/>
    </w:p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2"/>
    <w:basedOn w:val="1"/>
    <w:next w:val="1"/>
    <w:qFormat/>
    <w:locked/>
    <w:uiPriority w:val="39"/>
    <w:pPr>
      <w:spacing w:line="360" w:lineRule="exact"/>
      <w:jc w:val="left"/>
    </w:pPr>
    <w:rPr>
      <w:sz w:val="24"/>
    </w:rPr>
  </w:style>
  <w:style w:type="paragraph" w:styleId="17">
    <w:name w:val="Message Header"/>
    <w:basedOn w:val="1"/>
    <w:qFormat/>
    <w:locked/>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olor w:val="000000"/>
      <w:kern w:val="0"/>
      <w:sz w:val="24"/>
      <w:lang w:val="zh-CN"/>
    </w:rPr>
  </w:style>
  <w:style w:type="paragraph" w:styleId="18">
    <w:name w:val="Normal (Web)"/>
    <w:basedOn w:val="1"/>
    <w:link w:val="32"/>
    <w:qFormat/>
    <w:uiPriority w:val="0"/>
    <w:pPr>
      <w:widowControl/>
      <w:spacing w:before="100" w:beforeAutospacing="1" w:after="100" w:afterAutospacing="1"/>
      <w:jc w:val="left"/>
    </w:pPr>
    <w:rPr>
      <w:rFonts w:ascii="宋体" w:hAnsi="宋体"/>
      <w:kern w:val="0"/>
      <w:sz w:val="24"/>
      <w:szCs w:val="20"/>
    </w:rPr>
  </w:style>
  <w:style w:type="character" w:styleId="20">
    <w:name w:val="page number"/>
    <w:basedOn w:val="19"/>
    <w:qFormat/>
    <w:locked/>
    <w:uiPriority w:val="0"/>
  </w:style>
  <w:style w:type="character" w:styleId="21">
    <w:name w:val="annotation reference"/>
    <w:semiHidden/>
    <w:qFormat/>
    <w:uiPriority w:val="0"/>
    <w:rPr>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4">
    <w:name w:val="表格内"/>
    <w:basedOn w:val="1"/>
    <w:qFormat/>
    <w:uiPriority w:val="0"/>
    <w:pPr>
      <w:spacing w:line="360" w:lineRule="exact"/>
      <w:jc w:val="center"/>
    </w:pPr>
    <w:rPr>
      <w:rFonts w:eastAsia="Times New Roman"/>
      <w:sz w:val="21"/>
      <w:szCs w:val="21"/>
    </w:rPr>
  </w:style>
  <w:style w:type="character" w:customStyle="1" w:styleId="25">
    <w:name w:val="批注文字 Char"/>
    <w:link w:val="9"/>
    <w:qFormat/>
    <w:locked/>
    <w:uiPriority w:val="0"/>
    <w:rPr>
      <w:rFonts w:ascii="Times New Roman" w:hAnsi="Times New Roman" w:eastAsia="宋体"/>
      <w:sz w:val="24"/>
    </w:rPr>
  </w:style>
  <w:style w:type="character" w:customStyle="1" w:styleId="26">
    <w:name w:val="正文文本 Char"/>
    <w:link w:val="3"/>
    <w:qFormat/>
    <w:locked/>
    <w:uiPriority w:val="0"/>
    <w:rPr>
      <w:sz w:val="18"/>
    </w:rPr>
  </w:style>
  <w:style w:type="character" w:customStyle="1" w:styleId="27">
    <w:name w:val="正文文本缩进 Char"/>
    <w:link w:val="10"/>
    <w:semiHidden/>
    <w:qFormat/>
    <w:locked/>
    <w:uiPriority w:val="0"/>
    <w:rPr>
      <w:rFonts w:ascii="Times New Roman" w:hAnsi="Times New Roman" w:eastAsia="宋体"/>
      <w:sz w:val="24"/>
    </w:rPr>
  </w:style>
  <w:style w:type="character" w:customStyle="1" w:styleId="28">
    <w:name w:val="日期 Char"/>
    <w:link w:val="12"/>
    <w:qFormat/>
    <w:locked/>
    <w:uiPriority w:val="0"/>
    <w:rPr>
      <w:rFonts w:ascii="Times New Roman" w:hAnsi="Times New Roman" w:eastAsia="宋体"/>
      <w:sz w:val="24"/>
    </w:rPr>
  </w:style>
  <w:style w:type="character" w:customStyle="1" w:styleId="29">
    <w:name w:val="批注框文本 Char"/>
    <w:link w:val="5"/>
    <w:semiHidden/>
    <w:qFormat/>
    <w:locked/>
    <w:uiPriority w:val="0"/>
    <w:rPr>
      <w:rFonts w:ascii="Times New Roman" w:hAnsi="Times New Roman" w:eastAsia="宋体"/>
      <w:sz w:val="18"/>
    </w:rPr>
  </w:style>
  <w:style w:type="character" w:customStyle="1" w:styleId="30">
    <w:name w:val="页脚 Char"/>
    <w:link w:val="13"/>
    <w:qFormat/>
    <w:locked/>
    <w:uiPriority w:val="99"/>
    <w:rPr>
      <w:sz w:val="18"/>
    </w:rPr>
  </w:style>
  <w:style w:type="character" w:customStyle="1" w:styleId="31">
    <w:name w:val="页眉 Char"/>
    <w:link w:val="15"/>
    <w:qFormat/>
    <w:locked/>
    <w:uiPriority w:val="0"/>
    <w:rPr>
      <w:sz w:val="18"/>
    </w:rPr>
  </w:style>
  <w:style w:type="character" w:customStyle="1" w:styleId="32">
    <w:name w:val="普通(网站) Char"/>
    <w:link w:val="18"/>
    <w:qFormat/>
    <w:locked/>
    <w:uiPriority w:val="0"/>
    <w:rPr>
      <w:rFonts w:ascii="宋体" w:hAnsi="宋体" w:eastAsia="宋体"/>
      <w:sz w:val="24"/>
    </w:rPr>
  </w:style>
  <w:style w:type="character" w:customStyle="1" w:styleId="33">
    <w:name w:val="批注主题 Char"/>
    <w:link w:val="8"/>
    <w:semiHidden/>
    <w:qFormat/>
    <w:locked/>
    <w:uiPriority w:val="0"/>
    <w:rPr>
      <w:rFonts w:ascii="Times New Roman" w:hAnsi="Times New Roman" w:eastAsia="宋体"/>
      <w:b/>
      <w:kern w:val="2"/>
      <w:sz w:val="24"/>
    </w:rPr>
  </w:style>
  <w:style w:type="character" w:customStyle="1" w:styleId="34">
    <w:name w:val="页脚 字符"/>
    <w:basedOn w:val="19"/>
    <w:qFormat/>
    <w:uiPriority w:val="99"/>
  </w:style>
  <w:style w:type="character" w:customStyle="1" w:styleId="35">
    <w:name w:val="日期 字符"/>
    <w:semiHidden/>
    <w:qFormat/>
    <w:uiPriority w:val="0"/>
    <w:rPr>
      <w:rFonts w:ascii="Times New Roman" w:hAnsi="Times New Roman" w:eastAsia="宋体"/>
      <w:sz w:val="24"/>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Cs w:val="20"/>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文本 字符1"/>
    <w:semiHidden/>
    <w:qFormat/>
    <w:uiPriority w:val="0"/>
    <w:rPr>
      <w:rFonts w:ascii="Times New Roman" w:hAnsi="Times New Roman" w:eastAsia="宋体"/>
      <w:sz w:val="24"/>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2">
    <w:name w:val="Default"/>
    <w:basedOn w:val="43"/>
    <w:next w:val="1"/>
    <w:qFormat/>
    <w:uiPriority w:val="99"/>
    <w:pPr>
      <w:widowControl w:val="0"/>
      <w:autoSpaceDE w:val="0"/>
      <w:autoSpaceDN w:val="0"/>
      <w:adjustRightInd w:val="0"/>
    </w:pPr>
    <w:rPr>
      <w:color w:val="000000"/>
      <w:sz w:val="24"/>
      <w:szCs w:val="24"/>
      <w:lang w:val="en-US" w:eastAsia="zh-CN" w:bidi="ar-SA"/>
    </w:rPr>
  </w:style>
  <w:style w:type="paragraph" w:customStyle="1" w:styleId="4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44">
    <w:name w:val="15"/>
    <w:basedOn w:val="19"/>
    <w:qFormat/>
    <w:uiPriority w:val="0"/>
    <w:rPr>
      <w:rFonts w:hint="default" w:ascii="Times New Roman" w:hAnsi="Times New Roman" w:cs="Times New Roman"/>
    </w:rPr>
  </w:style>
  <w:style w:type="character" w:customStyle="1" w:styleId="45">
    <w:name w:val="10"/>
    <w:basedOn w:val="19"/>
    <w:qFormat/>
    <w:uiPriority w:val="0"/>
    <w:rPr>
      <w:rFonts w:hint="default" w:ascii="Times New Roman" w:hAnsi="Times New Roman" w:cs="Times New Roman"/>
    </w:rPr>
  </w:style>
  <w:style w:type="paragraph" w:customStyle="1" w:styleId="46">
    <w:name w:val="表格题头"/>
    <w:basedOn w:val="1"/>
    <w:next w:val="1"/>
    <w:qFormat/>
    <w:uiPriority w:val="0"/>
    <w:pPr>
      <w:widowControl/>
      <w:autoSpaceDE w:val="0"/>
      <w:autoSpaceDN w:val="0"/>
      <w:spacing w:line="260" w:lineRule="exact"/>
      <w:ind w:firstLine="0" w:firstLineChars="0"/>
      <w:jc w:val="center"/>
    </w:pPr>
    <w:rPr>
      <w:rFonts w:eastAsia="黑体"/>
      <w:color w:val="000000"/>
      <w:sz w:val="21"/>
      <w:szCs w:val="20"/>
    </w:rPr>
  </w:style>
  <w:style w:type="paragraph" w:customStyle="1" w:styleId="47">
    <w:name w:val="报告书正文"/>
    <w:basedOn w:val="1"/>
    <w:qFormat/>
    <w:uiPriority w:val="0"/>
    <w:pPr>
      <w:adjustRightInd w:val="0"/>
      <w:snapToGrid w:val="0"/>
      <w:spacing w:line="360" w:lineRule="auto"/>
      <w:ind w:firstLine="425"/>
      <w:textAlignment w:val="baseline"/>
    </w:pPr>
    <w:rPr>
      <w:rFonts w:ascii="Arial" w:hAnsi="Arial"/>
      <w:kern w:val="0"/>
      <w:sz w:val="24"/>
    </w:rPr>
  </w:style>
  <w:style w:type="paragraph" w:customStyle="1" w:styleId="48">
    <w:name w:val="表图头的文字"/>
    <w:basedOn w:val="1"/>
    <w:qFormat/>
    <w:uiPriority w:val="0"/>
    <w:pPr>
      <w:ind w:firstLine="0" w:firstLineChars="0"/>
      <w:jc w:val="center"/>
    </w:pPr>
    <w:rPr>
      <w:bCs/>
      <w:color w:val="000000"/>
      <w:kern w:val="0"/>
      <w:sz w:val="24"/>
      <w:szCs w:val="20"/>
    </w:rPr>
  </w:style>
  <w:style w:type="paragraph" w:customStyle="1" w:styleId="49">
    <w:name w:val="表中文字"/>
    <w:basedOn w:val="1"/>
    <w:qFormat/>
    <w:uiPriority w:val="0"/>
    <w:pPr>
      <w:jc w:val="center"/>
    </w:pPr>
    <w:rPr>
      <w:rFonts w:ascii="Times New Roman" w:hAnsi="Times New Roman" w:cs="Times New Roman"/>
      <w:szCs w:val="20"/>
    </w:rPr>
  </w:style>
  <w:style w:type="paragraph" w:customStyle="1" w:styleId="50">
    <w:name w:val="[表题]"/>
    <w:basedOn w:val="1"/>
    <w:next w:val="51"/>
    <w:qFormat/>
    <w:uiPriority w:val="0"/>
    <w:pPr>
      <w:keepNext/>
      <w:widowControl/>
      <w:spacing w:before="180" w:after="60"/>
      <w:jc w:val="center"/>
    </w:pPr>
    <w:rPr>
      <w:rFonts w:ascii="Times New Roman" w:hAnsi="Times New Roman" w:eastAsia="仿宋_GB2312" w:cs="Times New Roman"/>
      <w:kern w:val="0"/>
      <w:sz w:val="28"/>
      <w:szCs w:val="20"/>
    </w:rPr>
  </w:style>
  <w:style w:type="paragraph" w:customStyle="1" w:styleId="51">
    <w:name w:val="[表中文字]"/>
    <w:basedOn w:val="1"/>
    <w:qFormat/>
    <w:uiPriority w:val="0"/>
    <w:pPr>
      <w:keepNext w:val="0"/>
      <w:keepLines w:val="0"/>
      <w:widowControl w:val="0"/>
      <w:suppressLineNumbers w:val="0"/>
      <w:spacing w:before="60" w:beforeAutospacing="0" w:after="60" w:afterAutospacing="0"/>
      <w:jc w:val="center"/>
    </w:pPr>
    <w:rPr>
      <w:rFonts w:hint="default" w:ascii="Calibri" w:hAnsi="Calibri" w:eastAsia="仿宋_GB2312" w:cs="黑体"/>
      <w:kern w:val="2"/>
      <w:sz w:val="21"/>
      <w:szCs w:val="21"/>
      <w:lang w:val="en-US" w:eastAsia="zh-CN" w:bidi="ar"/>
    </w:rPr>
  </w:style>
  <w:style w:type="paragraph" w:customStyle="1" w:styleId="52">
    <w:name w:val="11111"/>
    <w:basedOn w:val="1"/>
    <w:next w:val="1"/>
    <w:qFormat/>
    <w:uiPriority w:val="0"/>
    <w:pPr>
      <w:spacing w:line="360" w:lineRule="auto"/>
      <w:ind w:firstLine="200" w:firstLineChars="200"/>
    </w:pPr>
    <w:rPr>
      <w:rFonts w:hAnsi="宋体" w:cs="宋体"/>
    </w:rPr>
  </w:style>
  <w:style w:type="paragraph" w:customStyle="1" w:styleId="53">
    <w:name w:val="【正文】"/>
    <w:basedOn w:val="1"/>
    <w:next w:val="17"/>
    <w:qFormat/>
    <w:uiPriority w:val="0"/>
    <w:pPr>
      <w:spacing w:line="360" w:lineRule="auto"/>
      <w:ind w:firstLine="480" w:firstLineChars="200"/>
    </w:pPr>
    <w:rPr>
      <w:rFonts w:ascii="宋体" w:hAnsi="宋体"/>
      <w:kern w:val="0"/>
      <w:sz w:val="24"/>
      <w:szCs w:val="20"/>
    </w:rPr>
  </w:style>
  <w:style w:type="paragraph" w:customStyle="1" w:styleId="54">
    <w:name w:val="表格标题"/>
    <w:basedOn w:val="1"/>
    <w:qFormat/>
    <w:uiPriority w:val="0"/>
    <w:pPr>
      <w:ind w:firstLine="1440"/>
    </w:pPr>
    <w:rPr>
      <w:b/>
      <w:kern w:val="0"/>
      <w:szCs w:val="20"/>
    </w:rPr>
  </w:style>
  <w:style w:type="paragraph" w:customStyle="1" w:styleId="55">
    <w:name w:val="表格内容"/>
    <w:basedOn w:val="56"/>
    <w:qFormat/>
    <w:uiPriority w:val="0"/>
    <w:pPr>
      <w:spacing w:line="300" w:lineRule="exact"/>
      <w:textAlignment w:val="baseline"/>
    </w:pPr>
    <w:rPr>
      <w:b w:val="0"/>
      <w:kern w:val="0"/>
      <w:sz w:val="21"/>
    </w:rPr>
  </w:style>
  <w:style w:type="paragraph" w:customStyle="1" w:styleId="56">
    <w:name w:val="图形文字"/>
    <w:basedOn w:val="3"/>
    <w:qFormat/>
    <w:uiPriority w:val="0"/>
    <w:pPr>
      <w:adjustRightInd w:val="0"/>
      <w:snapToGrid w:val="0"/>
      <w:spacing w:line="240" w:lineRule="auto"/>
      <w:ind w:firstLine="0" w:firstLineChars="0"/>
      <w:jc w:val="center"/>
    </w:pPr>
    <w:rPr>
      <w:b/>
      <w:w w:val="10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hyperlink" Target="http://www.biaozhi.net/eNews/news/200602/0029_0000000910.shtml" TargetMode="External"/><Relationship Id="rId25" Type="http://schemas.openxmlformats.org/officeDocument/2006/relationships/image" Target="media/image11.png"/><Relationship Id="rId24" Type="http://schemas.openxmlformats.org/officeDocument/2006/relationships/hyperlink" Target="http://www.biaozhi.net/eNews/news/200602/0029_0000000909.shtml" TargetMode="External"/><Relationship Id="rId23" Type="http://schemas.openxmlformats.org/officeDocument/2006/relationships/image" Target="media/image10.png"/><Relationship Id="rId22" Type="http://schemas.openxmlformats.org/officeDocument/2006/relationships/hyperlink" Target="http://www.biaozhi.net/eNews/news/200602/0029_0000000908.shtml" TargetMode="External"/><Relationship Id="rId21" Type="http://schemas.openxmlformats.org/officeDocument/2006/relationships/image" Target="media/image9.png"/><Relationship Id="rId20" Type="http://schemas.openxmlformats.org/officeDocument/2006/relationships/hyperlink" Target="http://www.biaozhi.net/eNews/news/200602/0029_0000000907.shtml" TargetMode="External"/><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1\&#22122;&#22768;\&#21151;&#33021;&#21306;\2021&#24180;&#21151;&#33021;&#21306;&#22122;&#22768;&#24179;&#22343;&#2054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1\&#22122;&#22768;\&#21151;&#33021;&#21306;\2021&#24180;&#21151;&#33021;&#21306;&#22122;&#22768;&#24179;&#22343;&#2054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021\&#22122;&#22768;\&#21151;&#33021;&#21306;\2021&#24180;&#21151;&#33021;&#21306;&#22122;&#22768;&#24179;&#22343;&#205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50833333333333"/>
          <c:y val="0.148148148148148"/>
          <c:w val="0.889361111111111"/>
          <c:h val="0.71837962962963"/>
        </c:manualLayout>
      </c:layout>
      <c:barChart>
        <c:barDir val="col"/>
        <c:grouping val="clustered"/>
        <c:varyColors val="0"/>
        <c:dLbls>
          <c:showLegendKey val="0"/>
          <c:showVal val="1"/>
          <c:showCatName val="0"/>
          <c:showSerName val="0"/>
          <c:showPercent val="0"/>
          <c:showBubbleSize val="0"/>
        </c:dLbls>
        <c:gapWidth val="219"/>
        <c:overlap val="-27"/>
        <c:axId val="941668922"/>
        <c:axId val="981249221"/>
      </c:barChart>
      <c:catAx>
        <c:axId val="941668922"/>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81249221"/>
        <c:crosses val="autoZero"/>
        <c:auto val="1"/>
        <c:lblAlgn val="ctr"/>
        <c:lblOffset val="100"/>
        <c:noMultiLvlLbl val="0"/>
      </c:catAx>
      <c:valAx>
        <c:axId val="981249221"/>
        <c:scaling>
          <c:orientation val="minMax"/>
          <c:max val="1"/>
        </c:scaling>
        <c:delete val="1"/>
        <c:axPos val="l"/>
        <c:majorGridlines>
          <c:spPr>
            <a:ln w="9525" cap="flat" cmpd="sng" algn="ctr">
              <a:solidFill>
                <a:srgbClr val="D9D9D9">
                  <a:lumMod val="15000"/>
                  <a:lumOff val="85000"/>
                </a:srgbClr>
              </a:solidFill>
              <a:round/>
            </a:ln>
            <a:effectLst/>
          </c:spPr>
        </c:majorGridlines>
        <c:numFmt formatCode="0%" sourceLinked="0"/>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416689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7222222222222"/>
          <c:y val="0.103009259259259"/>
          <c:w val="0.876722222222222"/>
          <c:h val="0.732268518518518"/>
        </c:manualLayout>
      </c:layout>
      <c:barChart>
        <c:barDir val="col"/>
        <c:grouping val="clustered"/>
        <c:varyColors val="0"/>
        <c:dLbls>
          <c:showLegendKey val="0"/>
          <c:showVal val="0"/>
          <c:showCatName val="0"/>
          <c:showSerName val="0"/>
          <c:showPercent val="0"/>
          <c:showBubbleSize val="0"/>
        </c:dLbls>
        <c:gapWidth val="219"/>
        <c:overlap val="-27"/>
        <c:axId val="258207955"/>
        <c:axId val="495974364"/>
      </c:barChart>
      <c:catAx>
        <c:axId val="258207955"/>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95974364"/>
        <c:crosses val="autoZero"/>
        <c:auto val="1"/>
        <c:lblAlgn val="ctr"/>
        <c:lblOffset val="100"/>
        <c:noMultiLvlLbl val="0"/>
      </c:catAx>
      <c:valAx>
        <c:axId val="495974364"/>
        <c:scaling>
          <c:orientation val="minMax"/>
          <c:max val="1"/>
        </c:scaling>
        <c:delete val="0"/>
        <c:axPos val="l"/>
        <c:majorGridlines>
          <c:spPr>
            <a:ln w="9525" cap="flat" cmpd="sng" algn="ctr">
              <a:solidFill>
                <a:srgbClr val="D9D9D9">
                  <a:lumMod val="15000"/>
                  <a:lumOff val="85000"/>
                </a:srgb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58207955"/>
        <c:crosses val="autoZero"/>
        <c:crossBetween val="between"/>
      </c:valAx>
      <c:spPr>
        <a:noFill/>
        <a:ln>
          <a:noFill/>
        </a:ln>
        <a:effectLst/>
      </c:spPr>
    </c:plotArea>
    <c:legend>
      <c:legendPos val="b"/>
      <c:layout>
        <c:manualLayout>
          <c:xMode val="edge"/>
          <c:yMode val="edge"/>
          <c:x val="0.415347222222222"/>
          <c:y val="0.91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7222222222222"/>
          <c:y val="0.144675925925926"/>
          <c:w val="0.876722222222222"/>
          <c:h val="0.560972222222222"/>
        </c:manualLayout>
      </c:layout>
      <c:barChart>
        <c:barDir val="col"/>
        <c:grouping val="clustered"/>
        <c:varyColors val="0"/>
        <c:dLbls>
          <c:showLegendKey val="0"/>
          <c:showVal val="0"/>
          <c:showCatName val="0"/>
          <c:showSerName val="0"/>
          <c:showPercent val="0"/>
          <c:showBubbleSize val="0"/>
        </c:dLbls>
        <c:gapWidth val="219"/>
        <c:overlap val="-27"/>
        <c:axId val="864490437"/>
        <c:axId val="989859655"/>
      </c:barChart>
      <c:catAx>
        <c:axId val="864490437"/>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89859655"/>
        <c:crosses val="autoZero"/>
        <c:auto val="1"/>
        <c:lblAlgn val="ctr"/>
        <c:lblOffset val="100"/>
        <c:noMultiLvlLbl val="0"/>
      </c:catAx>
      <c:valAx>
        <c:axId val="989859655"/>
        <c:scaling>
          <c:orientation val="minMax"/>
          <c:max val="1"/>
        </c:scaling>
        <c:delete val="0"/>
        <c:axPos val="l"/>
        <c:majorGridlines>
          <c:spPr>
            <a:ln w="9525" cap="flat" cmpd="sng" algn="ctr">
              <a:solidFill>
                <a:srgbClr val="D9D9D9">
                  <a:lumMod val="15000"/>
                  <a:lumOff val="85000"/>
                </a:srgb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644904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E2NjE1MTI1OTQwIiwKCSJHcm91cElkIiA6ICI2MjQzOTQ3MjIiLAoJIkltYWdlIiA6ICJpVkJPUncwS0dnb0FBQUFOU1VoRVVnQUFBeHdBQUFHeENBWUFBQURvR3JBUkFBQUFDWEJJV1hNQUFBc1RBQUFMRXdFQW1wd1lBQUFnQUVsRVFWUjRuT3pkZVZ4VVZmOEg4TThkUUdRUnQxenpTUXpVVWtubWtuc2FKbFptaTdtaGxWdHVxR1c1WkUrSitqeTViejFtcWFtNXBPSk83bGFVUnJsZzFqQ1lTNUlpNUFxaGd1d01NM04rZitEY0h5TURnZ0l6ekh6ZXI1Y3ZaODQ5OTg2WjVRN3p2ZWQ4endH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"/>
    </extobj>
    <extobj name="ECB019B1-382A-4266-B25C-5B523AA43C14-2">
      <extobjdata type="ECB019B1-382A-4266-B25C-5B523AA43C14" data="ewoJIkZpbGVJZCIgOiAiMjE1OTQzMjA1NDM4IiwKCSJHcm91cElkIiA6ICI2MjQzOTQ3MjIiLAoJIkltYWdlIiA6ICJpVkJPUncwS0dnb0FBQUFOU1VoRVVnQUFBbVFBQUFJNENBWUFBQURFWGZVd0FBQUFDWEJJV1hNQUFBc1RBQUFMRXdFQW1wd1lBQUFnQUVsRVFWUjRuT3pkZVZ4VjFkN0g4YzlCR1FURW5NVWhUY3pabTBCYXFKV1ZtdGNzYzBKemVyVE1jc0F5dFhLNFlXVjVMNGFXNG1OYURoblgxRWN0aDlRY0tyTXlLeFFyUzdSRUV5N09BeUFJNHRuUEg4aTVIRGpNeWpsd3Z1L1hxeGVlZGZiZTU3ZU5MVC9XK3EyM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59</Pages>
  <Words>19383</Words>
  <Characters>22098</Characters>
  <Lines>1</Lines>
  <Paragraphs>1</Paragraphs>
  <ScaleCrop>false</ScaleCrop>
  <LinksUpToDate>false</LinksUpToDate>
  <CharactersWithSpaces>22463</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2023-02-27T06:37:42Z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6BEAB77049144F17BF4D3F224E3D43E4</vt:lpwstr>
  </property>
</Properties>
</file>